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62" w:type="dxa"/>
        <w:tblLook w:val="04A0" w:firstRow="1" w:lastRow="0" w:firstColumn="1" w:lastColumn="0" w:noHBand="0" w:noVBand="1"/>
      </w:tblPr>
      <w:tblGrid>
        <w:gridCol w:w="9990"/>
      </w:tblGrid>
      <w:tr w:rsidR="008C0DF5" w:rsidTr="008240AE">
        <w:trPr>
          <w:trHeight w:val="540"/>
        </w:trPr>
        <w:tc>
          <w:tcPr>
            <w:tcW w:w="9990" w:type="dxa"/>
            <w:tcBorders>
              <w:top w:val="nil"/>
              <w:left w:val="nil"/>
              <w:right w:val="nil"/>
            </w:tcBorders>
            <w:shd w:val="clear" w:color="auto" w:fill="auto"/>
          </w:tcPr>
          <w:p w:rsidR="008C0DF5" w:rsidRPr="00533C2A" w:rsidRDefault="00CE4C6E" w:rsidP="00CE4C6E">
            <w:pPr>
              <w:tabs>
                <w:tab w:val="left" w:pos="7215"/>
              </w:tabs>
              <w:spacing w:before="120" w:after="120"/>
              <w:jc w:val="center"/>
              <w:rPr>
                <w:b/>
              </w:rPr>
            </w:pPr>
            <w:bookmarkStart w:id="0" w:name="_Toc423355419"/>
            <w:r>
              <w:rPr>
                <w:b/>
              </w:rPr>
              <w:t>FORM</w:t>
            </w:r>
            <w:r w:rsidR="008C0DF5" w:rsidRPr="00533C2A">
              <w:rPr>
                <w:b/>
              </w:rPr>
              <w:t xml:space="preserve"> B: </w:t>
            </w:r>
            <w:r>
              <w:rPr>
                <w:b/>
              </w:rPr>
              <w:t>REQUEST FOR INFORMATION QUESTIONNAIRE</w:t>
            </w:r>
          </w:p>
        </w:tc>
      </w:tr>
      <w:tr w:rsidR="004464B0" w:rsidTr="00F74D9E">
        <w:tc>
          <w:tcPr>
            <w:tcW w:w="9990" w:type="dxa"/>
            <w:shd w:val="clear" w:color="auto" w:fill="BFBFBF" w:themeFill="background1" w:themeFillShade="BF"/>
          </w:tcPr>
          <w:p w:rsidR="004464B0" w:rsidRPr="00053445" w:rsidRDefault="004464B0" w:rsidP="00316955">
            <w:pPr>
              <w:spacing w:before="120" w:after="120"/>
            </w:pPr>
            <w:r>
              <w:rPr>
                <w:b/>
              </w:rPr>
              <w:t>Part 1: Project Description</w:t>
            </w:r>
            <w:r w:rsidRPr="00F054F6">
              <w:t xml:space="preserve"> </w:t>
            </w:r>
          </w:p>
        </w:tc>
      </w:tr>
      <w:tr w:rsidR="004464B0" w:rsidTr="008240AE">
        <w:trPr>
          <w:trHeight w:val="6263"/>
        </w:trPr>
        <w:tc>
          <w:tcPr>
            <w:tcW w:w="9990" w:type="dxa"/>
          </w:tcPr>
          <w:p w:rsidR="004464B0" w:rsidRDefault="004464B0" w:rsidP="00316955">
            <w:pPr>
              <w:spacing w:before="120" w:after="120"/>
            </w:pPr>
            <w:r>
              <w:t>1.1 The</w:t>
            </w:r>
            <w:r w:rsidRPr="00F054F6">
              <w:t xml:space="preserve"> objective of the biosolids land application program is to maximize the beneficial reuse of biosolids while minimizing associated risks. </w:t>
            </w:r>
          </w:p>
          <w:p w:rsidR="004464B0" w:rsidRPr="00F054F6" w:rsidRDefault="004464B0" w:rsidP="00316955">
            <w:pPr>
              <w:tabs>
                <w:tab w:val="num" w:pos="864"/>
              </w:tabs>
              <w:spacing w:before="120" w:after="120"/>
            </w:pPr>
            <w:r>
              <w:t xml:space="preserve">1.2  </w:t>
            </w:r>
            <w:r w:rsidRPr="00F054F6">
              <w:t xml:space="preserve">The scope of work </w:t>
            </w:r>
            <w:r>
              <w:t xml:space="preserve">includes: </w:t>
            </w:r>
          </w:p>
          <w:p w:rsidR="004464B0" w:rsidRDefault="004464B0" w:rsidP="00316955">
            <w:pPr>
              <w:tabs>
                <w:tab w:val="num" w:pos="1440"/>
              </w:tabs>
              <w:spacing w:before="120" w:after="120"/>
              <w:ind w:left="720"/>
            </w:pPr>
            <w:r>
              <w:t xml:space="preserve">a)  </w:t>
            </w:r>
            <w:r w:rsidRPr="00F054F6">
              <w:t>Comprehensive management and operation of the biosolids land application program</w:t>
            </w:r>
          </w:p>
          <w:p w:rsidR="004464B0" w:rsidRPr="00F054F6" w:rsidRDefault="004464B0" w:rsidP="00316955">
            <w:pPr>
              <w:tabs>
                <w:tab w:val="num" w:pos="1440"/>
              </w:tabs>
              <w:spacing w:before="120" w:after="120"/>
              <w:ind w:left="720"/>
            </w:pPr>
            <w:r>
              <w:t xml:space="preserve">b)  Compliance with all regulatory requirements for the program, including sampling, monitoring, reporting requirements, etc. </w:t>
            </w:r>
          </w:p>
          <w:p w:rsidR="004464B0" w:rsidRDefault="004464B0" w:rsidP="00316955">
            <w:pPr>
              <w:tabs>
                <w:tab w:val="num" w:pos="1440"/>
              </w:tabs>
              <w:spacing w:before="120" w:after="120"/>
              <w:ind w:left="720"/>
            </w:pPr>
            <w:r>
              <w:t>c)  Public education and engagement</w:t>
            </w:r>
          </w:p>
          <w:p w:rsidR="004464B0" w:rsidRPr="00F054F6" w:rsidRDefault="004464B0" w:rsidP="00316955">
            <w:pPr>
              <w:tabs>
                <w:tab w:val="num" w:pos="1440"/>
              </w:tabs>
              <w:spacing w:before="120" w:after="120"/>
              <w:ind w:left="720"/>
            </w:pPr>
            <w:r>
              <w:t xml:space="preserve">d)  </w:t>
            </w:r>
            <w:r w:rsidRPr="00F054F6">
              <w:t>Consult</w:t>
            </w:r>
            <w:r>
              <w:t xml:space="preserve">ation with rural municipalities and communities </w:t>
            </w:r>
          </w:p>
          <w:p w:rsidR="004464B0" w:rsidRPr="00F054F6" w:rsidRDefault="004464B0" w:rsidP="00316955">
            <w:pPr>
              <w:tabs>
                <w:tab w:val="num" w:pos="1440"/>
              </w:tabs>
              <w:spacing w:before="120" w:after="120"/>
              <w:ind w:left="720"/>
            </w:pPr>
            <w:r>
              <w:t xml:space="preserve">e)  </w:t>
            </w:r>
            <w:r w:rsidRPr="00F054F6">
              <w:t>Marketing of biosolids to agricultural community</w:t>
            </w:r>
          </w:p>
          <w:p w:rsidR="004464B0" w:rsidRPr="00F054F6" w:rsidRDefault="004464B0" w:rsidP="00316955">
            <w:pPr>
              <w:tabs>
                <w:tab w:val="num" w:pos="1440"/>
              </w:tabs>
              <w:spacing w:before="120" w:after="120"/>
              <w:ind w:left="720"/>
            </w:pPr>
            <w:r>
              <w:t xml:space="preserve">f)  </w:t>
            </w:r>
            <w:r w:rsidRPr="00F054F6">
              <w:t>Securing land for application</w:t>
            </w:r>
          </w:p>
          <w:p w:rsidR="004464B0" w:rsidRPr="00F054F6" w:rsidRDefault="004464B0" w:rsidP="00316955">
            <w:pPr>
              <w:tabs>
                <w:tab w:val="num" w:pos="1440"/>
              </w:tabs>
              <w:spacing w:before="120" w:after="120"/>
              <w:ind w:left="720"/>
            </w:pPr>
            <w:r>
              <w:t xml:space="preserve">g)  </w:t>
            </w:r>
            <w:r w:rsidRPr="00F054F6">
              <w:t>Preparation of Nutrient Management Plans</w:t>
            </w:r>
            <w:r>
              <w:t>, including determination of application rates</w:t>
            </w:r>
          </w:p>
          <w:p w:rsidR="004464B0" w:rsidRPr="00F054F6" w:rsidRDefault="004464B0" w:rsidP="00316955">
            <w:pPr>
              <w:tabs>
                <w:tab w:val="num" w:pos="1440"/>
              </w:tabs>
              <w:spacing w:before="120" w:after="120"/>
              <w:ind w:left="720"/>
            </w:pPr>
            <w:r>
              <w:t>h)  Planning, c</w:t>
            </w:r>
            <w:r w:rsidRPr="00F054F6">
              <w:t>oord</w:t>
            </w:r>
            <w:r>
              <w:t xml:space="preserve">ination and implementation of land application schedule  </w:t>
            </w:r>
          </w:p>
          <w:p w:rsidR="004464B0" w:rsidRPr="00F054F6" w:rsidRDefault="004464B0" w:rsidP="00316955">
            <w:pPr>
              <w:tabs>
                <w:tab w:val="num" w:pos="1440"/>
              </w:tabs>
              <w:spacing w:before="120" w:after="120"/>
              <w:ind w:left="720"/>
            </w:pPr>
            <w:proofErr w:type="spellStart"/>
            <w:r>
              <w:t>i</w:t>
            </w:r>
            <w:proofErr w:type="spellEnd"/>
            <w:r>
              <w:t xml:space="preserve">)  </w:t>
            </w:r>
            <w:r w:rsidRPr="00F054F6">
              <w:t>Supply, operate and maintain all equipment for the program</w:t>
            </w:r>
          </w:p>
          <w:p w:rsidR="004464B0" w:rsidRPr="00F054F6" w:rsidRDefault="004464B0" w:rsidP="00316955">
            <w:pPr>
              <w:tabs>
                <w:tab w:val="num" w:pos="1440"/>
              </w:tabs>
              <w:spacing w:before="120" w:after="120"/>
              <w:ind w:left="720"/>
            </w:pPr>
            <w:r>
              <w:t xml:space="preserve">j)  Application </w:t>
            </w:r>
            <w:r w:rsidRPr="00F054F6">
              <w:t>of biosolids</w:t>
            </w:r>
            <w:r>
              <w:t xml:space="preserve"> on agricultural land, spreading</w:t>
            </w:r>
            <w:r w:rsidRPr="00F054F6">
              <w:t xml:space="preserve"> and incorporation into soil</w:t>
            </w:r>
          </w:p>
          <w:p w:rsidR="004464B0" w:rsidRPr="00F054F6" w:rsidRDefault="004464B0" w:rsidP="00316955">
            <w:pPr>
              <w:tabs>
                <w:tab w:val="num" w:pos="864"/>
              </w:tabs>
              <w:spacing w:before="120" w:after="120"/>
            </w:pPr>
            <w:r>
              <w:t xml:space="preserve">1.3  </w:t>
            </w:r>
            <w:r w:rsidRPr="00F054F6">
              <w:t>The scope of work may</w:t>
            </w:r>
            <w:r w:rsidR="007B42B1">
              <w:t xml:space="preserve"> also</w:t>
            </w:r>
            <w:r w:rsidRPr="00F054F6">
              <w:t xml:space="preserve"> include:</w:t>
            </w:r>
          </w:p>
          <w:p w:rsidR="004464B0" w:rsidRDefault="004464B0" w:rsidP="00316955">
            <w:pPr>
              <w:tabs>
                <w:tab w:val="num" w:pos="1440"/>
              </w:tabs>
              <w:spacing w:before="120" w:after="120"/>
              <w:ind w:left="720"/>
            </w:pPr>
            <w:r>
              <w:t xml:space="preserve">a) </w:t>
            </w:r>
            <w:r w:rsidRPr="00F054F6">
              <w:t xml:space="preserve">Design, build, own, operate and maintain </w:t>
            </w:r>
            <w:r>
              <w:t xml:space="preserve">a licenced </w:t>
            </w:r>
            <w:r w:rsidRPr="00F054F6">
              <w:t>biosolids storage facility</w:t>
            </w:r>
          </w:p>
          <w:p w:rsidR="004464B0" w:rsidRDefault="004464B0" w:rsidP="00316955">
            <w:pPr>
              <w:tabs>
                <w:tab w:val="num" w:pos="1440"/>
              </w:tabs>
              <w:spacing w:before="120" w:after="120"/>
              <w:ind w:left="720"/>
            </w:pPr>
            <w:r>
              <w:t xml:space="preserve">b) </w:t>
            </w:r>
            <w:r w:rsidRPr="00F054F6">
              <w:t xml:space="preserve">Transportation of biosolids </w:t>
            </w:r>
            <w:r>
              <w:t xml:space="preserve">from storage facility </w:t>
            </w:r>
            <w:r w:rsidRPr="00F054F6">
              <w:t>to agricultural land</w:t>
            </w:r>
          </w:p>
          <w:p w:rsidR="004825B5" w:rsidRPr="00EF4123" w:rsidRDefault="00012097" w:rsidP="004208E4">
            <w:pPr>
              <w:tabs>
                <w:tab w:val="num" w:pos="864"/>
              </w:tabs>
              <w:spacing w:before="120" w:after="120"/>
            </w:pPr>
            <w:r>
              <w:t>1.4</w:t>
            </w:r>
            <w:r w:rsidR="004208E4">
              <w:t xml:space="preserve">  </w:t>
            </w:r>
            <w:r w:rsidR="004825B5">
              <w:t xml:space="preserve">For estimating purposes, a summary of recent biosolids production </w:t>
            </w:r>
            <w:r>
              <w:t>is found in Table 1 below:</w:t>
            </w:r>
          </w:p>
        </w:tc>
      </w:tr>
    </w:tbl>
    <w:p w:rsidR="004464B0" w:rsidRDefault="004464B0" w:rsidP="004464B0"/>
    <w:p w:rsidR="00B4619F" w:rsidRPr="00B4619F" w:rsidRDefault="00B4619F" w:rsidP="00B4619F">
      <w:pPr>
        <w:spacing w:after="200" w:line="276" w:lineRule="auto"/>
        <w:rPr>
          <w:b/>
        </w:rPr>
      </w:pPr>
      <w:r>
        <w:rPr>
          <w:b/>
        </w:rPr>
        <w:t>Table 1</w:t>
      </w:r>
      <w:r w:rsidRPr="008A2EA8">
        <w:rPr>
          <w:b/>
        </w:rPr>
        <w:t>: Monthly Biosolids Production</w:t>
      </w:r>
      <w:r>
        <w:rPr>
          <w:b/>
        </w:rPr>
        <w:t xml:space="preserve"> January 2012 – September 2015</w:t>
      </w:r>
    </w:p>
    <w:tbl>
      <w:tblPr>
        <w:tblStyle w:val="TableGrid"/>
        <w:tblW w:w="0" w:type="auto"/>
        <w:tblLook w:val="04A0" w:firstRow="1" w:lastRow="0" w:firstColumn="1" w:lastColumn="0" w:noHBand="0" w:noVBand="1"/>
      </w:tblPr>
      <w:tblGrid>
        <w:gridCol w:w="1915"/>
        <w:gridCol w:w="1915"/>
        <w:gridCol w:w="1915"/>
        <w:gridCol w:w="1915"/>
        <w:gridCol w:w="1916"/>
      </w:tblGrid>
      <w:tr w:rsidR="00B4619F" w:rsidRPr="00AD0EB4" w:rsidTr="00316955">
        <w:trPr>
          <w:trHeight w:hRule="exact" w:val="317"/>
        </w:trPr>
        <w:tc>
          <w:tcPr>
            <w:tcW w:w="1915" w:type="dxa"/>
            <w:tcBorders>
              <w:top w:val="single" w:sz="12" w:space="0" w:color="auto"/>
              <w:left w:val="single" w:sz="12" w:space="0" w:color="auto"/>
            </w:tcBorders>
            <w:shd w:val="clear" w:color="auto" w:fill="BFBFBF" w:themeFill="background1" w:themeFillShade="BF"/>
            <w:vAlign w:val="center"/>
          </w:tcPr>
          <w:p w:rsidR="00B4619F" w:rsidRPr="00AD0EB4" w:rsidRDefault="00B4619F" w:rsidP="00316955">
            <w:pPr>
              <w:jc w:val="center"/>
              <w:rPr>
                <w:rFonts w:cs="Arial"/>
                <w:b/>
                <w:color w:val="000000"/>
                <w:szCs w:val="20"/>
              </w:rPr>
            </w:pPr>
            <w:r w:rsidRPr="00AD0EB4">
              <w:rPr>
                <w:rFonts w:cs="Arial"/>
                <w:b/>
                <w:color w:val="000000"/>
                <w:szCs w:val="20"/>
              </w:rPr>
              <w:t>Year</w:t>
            </w:r>
          </w:p>
        </w:tc>
        <w:tc>
          <w:tcPr>
            <w:tcW w:w="1915" w:type="dxa"/>
            <w:tcBorders>
              <w:top w:val="single" w:sz="12" w:space="0" w:color="auto"/>
            </w:tcBorders>
            <w:shd w:val="clear" w:color="auto" w:fill="BFBFBF" w:themeFill="background1" w:themeFillShade="BF"/>
            <w:vAlign w:val="center"/>
          </w:tcPr>
          <w:p w:rsidR="00B4619F" w:rsidRPr="00AD0EB4" w:rsidRDefault="00B4619F" w:rsidP="00316955">
            <w:pPr>
              <w:jc w:val="center"/>
              <w:rPr>
                <w:rFonts w:cs="Arial"/>
                <w:b/>
                <w:color w:val="000000"/>
                <w:szCs w:val="20"/>
              </w:rPr>
            </w:pPr>
            <w:r w:rsidRPr="00AD0EB4">
              <w:rPr>
                <w:rFonts w:cs="Arial"/>
                <w:b/>
                <w:color w:val="000000"/>
                <w:szCs w:val="20"/>
              </w:rPr>
              <w:t>Month</w:t>
            </w:r>
          </w:p>
        </w:tc>
        <w:tc>
          <w:tcPr>
            <w:tcW w:w="1915" w:type="dxa"/>
            <w:tcBorders>
              <w:top w:val="single" w:sz="12" w:space="0" w:color="auto"/>
            </w:tcBorders>
            <w:shd w:val="clear" w:color="auto" w:fill="BFBFBF" w:themeFill="background1" w:themeFillShade="BF"/>
            <w:vAlign w:val="center"/>
          </w:tcPr>
          <w:p w:rsidR="00B4619F" w:rsidRPr="00AD0EB4" w:rsidRDefault="00B4619F" w:rsidP="00316955">
            <w:pPr>
              <w:jc w:val="center"/>
              <w:rPr>
                <w:b/>
              </w:rPr>
            </w:pPr>
            <w:r w:rsidRPr="00AD0EB4">
              <w:rPr>
                <w:b/>
              </w:rPr>
              <w:t>Wet Tonne</w:t>
            </w:r>
          </w:p>
        </w:tc>
        <w:tc>
          <w:tcPr>
            <w:tcW w:w="1915" w:type="dxa"/>
            <w:tcBorders>
              <w:top w:val="single" w:sz="12" w:space="0" w:color="auto"/>
            </w:tcBorders>
            <w:shd w:val="clear" w:color="auto" w:fill="BFBFBF" w:themeFill="background1" w:themeFillShade="BF"/>
            <w:vAlign w:val="center"/>
          </w:tcPr>
          <w:p w:rsidR="00B4619F" w:rsidRPr="00AD0EB4" w:rsidRDefault="00B4619F" w:rsidP="00316955">
            <w:pPr>
              <w:jc w:val="center"/>
              <w:rPr>
                <w:b/>
              </w:rPr>
            </w:pPr>
            <w:r w:rsidRPr="00AD0EB4">
              <w:rPr>
                <w:b/>
              </w:rPr>
              <w:t>Dry Tonne</w:t>
            </w:r>
          </w:p>
        </w:tc>
        <w:tc>
          <w:tcPr>
            <w:tcW w:w="1916" w:type="dxa"/>
            <w:tcBorders>
              <w:top w:val="single" w:sz="12" w:space="0" w:color="auto"/>
              <w:right w:val="single" w:sz="12" w:space="0" w:color="auto"/>
            </w:tcBorders>
            <w:shd w:val="clear" w:color="auto" w:fill="BFBFBF" w:themeFill="background1" w:themeFillShade="BF"/>
            <w:vAlign w:val="center"/>
          </w:tcPr>
          <w:p w:rsidR="00B4619F" w:rsidRPr="00AD0EB4" w:rsidRDefault="00B4619F" w:rsidP="00316955">
            <w:pPr>
              <w:jc w:val="center"/>
              <w:rPr>
                <w:b/>
              </w:rPr>
            </w:pPr>
            <w:r w:rsidRPr="00AD0EB4">
              <w:rPr>
                <w:b/>
              </w:rPr>
              <w:t xml:space="preserve">% </w:t>
            </w:r>
            <w:r>
              <w:rPr>
                <w:b/>
              </w:rPr>
              <w:t xml:space="preserve">Total </w:t>
            </w:r>
            <w:r w:rsidRPr="00AD0EB4">
              <w:rPr>
                <w:b/>
              </w:rPr>
              <w:t>Solids</w:t>
            </w:r>
          </w:p>
        </w:tc>
      </w:tr>
      <w:tr w:rsidR="00C54A2A" w:rsidRPr="006748F4"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color w:val="000000"/>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January</w:t>
            </w:r>
          </w:p>
        </w:tc>
        <w:tc>
          <w:tcPr>
            <w:tcW w:w="1915" w:type="dxa"/>
            <w:vAlign w:val="center"/>
          </w:tcPr>
          <w:p w:rsidR="00C54A2A" w:rsidRDefault="00C54A2A">
            <w:pPr>
              <w:jc w:val="center"/>
              <w:rPr>
                <w:rFonts w:cs="Arial"/>
                <w:color w:val="000000"/>
                <w:szCs w:val="20"/>
              </w:rPr>
            </w:pPr>
            <w:r>
              <w:rPr>
                <w:rFonts w:cs="Arial"/>
                <w:color w:val="000000"/>
                <w:szCs w:val="20"/>
              </w:rPr>
              <w:t>4,502</w:t>
            </w:r>
          </w:p>
        </w:tc>
        <w:tc>
          <w:tcPr>
            <w:tcW w:w="1915" w:type="dxa"/>
            <w:vAlign w:val="center"/>
          </w:tcPr>
          <w:p w:rsidR="00C54A2A" w:rsidRPr="00A14C41" w:rsidRDefault="00C54A2A" w:rsidP="00A14C41">
            <w:pPr>
              <w:jc w:val="center"/>
              <w:rPr>
                <w:rFonts w:cs="Arial"/>
                <w:szCs w:val="20"/>
              </w:rPr>
            </w:pPr>
            <w:r>
              <w:rPr>
                <w:rFonts w:cs="Arial"/>
                <w:szCs w:val="20"/>
              </w:rPr>
              <w:t>1,064</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23.7</w:t>
            </w:r>
          </w:p>
        </w:tc>
      </w:tr>
      <w:tr w:rsidR="00C54A2A" w:rsidRPr="006748F4"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February</w:t>
            </w:r>
          </w:p>
        </w:tc>
        <w:tc>
          <w:tcPr>
            <w:tcW w:w="1915" w:type="dxa"/>
            <w:vAlign w:val="center"/>
          </w:tcPr>
          <w:p w:rsidR="00C54A2A" w:rsidRDefault="00C54A2A">
            <w:pPr>
              <w:jc w:val="center"/>
              <w:rPr>
                <w:rFonts w:cs="Arial"/>
                <w:color w:val="000000"/>
                <w:szCs w:val="20"/>
              </w:rPr>
            </w:pPr>
            <w:r>
              <w:rPr>
                <w:rFonts w:cs="Arial"/>
                <w:color w:val="000000"/>
                <w:szCs w:val="20"/>
              </w:rPr>
              <w:t>3,739</w:t>
            </w:r>
          </w:p>
        </w:tc>
        <w:tc>
          <w:tcPr>
            <w:tcW w:w="1915" w:type="dxa"/>
            <w:vAlign w:val="center"/>
          </w:tcPr>
          <w:p w:rsidR="00C54A2A" w:rsidRPr="00A14C41" w:rsidRDefault="00404996" w:rsidP="00A14C41">
            <w:pPr>
              <w:jc w:val="center"/>
              <w:rPr>
                <w:rFonts w:cs="Arial"/>
                <w:color w:val="000000"/>
                <w:szCs w:val="20"/>
              </w:rPr>
            </w:pPr>
            <w:r>
              <w:rPr>
                <w:rFonts w:cs="Arial"/>
                <w:szCs w:val="20"/>
              </w:rPr>
              <w:t>9</w:t>
            </w:r>
            <w:r w:rsidR="00C54A2A">
              <w:rPr>
                <w:rFonts w:cs="Arial"/>
                <w:szCs w:val="20"/>
              </w:rPr>
              <w:t>42</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25.0</w:t>
            </w:r>
          </w:p>
        </w:tc>
      </w:tr>
      <w:tr w:rsidR="00C54A2A" w:rsidRPr="006748F4"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March</w:t>
            </w:r>
          </w:p>
        </w:tc>
        <w:tc>
          <w:tcPr>
            <w:tcW w:w="1915" w:type="dxa"/>
            <w:vAlign w:val="center"/>
          </w:tcPr>
          <w:p w:rsidR="00C54A2A" w:rsidRDefault="00C54A2A">
            <w:pPr>
              <w:jc w:val="center"/>
              <w:rPr>
                <w:rFonts w:cs="Arial"/>
                <w:color w:val="000000"/>
                <w:szCs w:val="20"/>
              </w:rPr>
            </w:pPr>
            <w:r>
              <w:rPr>
                <w:rFonts w:cs="Arial"/>
                <w:color w:val="000000"/>
                <w:szCs w:val="20"/>
              </w:rPr>
              <w:t>4,563</w:t>
            </w:r>
          </w:p>
        </w:tc>
        <w:tc>
          <w:tcPr>
            <w:tcW w:w="1915" w:type="dxa"/>
            <w:vAlign w:val="center"/>
          </w:tcPr>
          <w:p w:rsidR="00C54A2A" w:rsidRPr="00A14C41" w:rsidRDefault="00C54A2A" w:rsidP="00A14C41">
            <w:pPr>
              <w:jc w:val="center"/>
              <w:rPr>
                <w:rFonts w:cs="Arial"/>
                <w:szCs w:val="20"/>
              </w:rPr>
            </w:pPr>
            <w:r>
              <w:rPr>
                <w:rFonts w:cs="Arial"/>
                <w:szCs w:val="20"/>
              </w:rPr>
              <w:t>1,353</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29.8</w:t>
            </w:r>
          </w:p>
        </w:tc>
      </w:tr>
      <w:tr w:rsidR="00C54A2A" w:rsidRPr="006748F4"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April</w:t>
            </w:r>
          </w:p>
        </w:tc>
        <w:tc>
          <w:tcPr>
            <w:tcW w:w="1915" w:type="dxa"/>
            <w:vAlign w:val="center"/>
          </w:tcPr>
          <w:p w:rsidR="00C54A2A" w:rsidRDefault="00C54A2A">
            <w:pPr>
              <w:jc w:val="center"/>
              <w:rPr>
                <w:rFonts w:cs="Arial"/>
                <w:color w:val="000000"/>
                <w:szCs w:val="20"/>
              </w:rPr>
            </w:pPr>
            <w:r>
              <w:rPr>
                <w:rFonts w:cs="Arial"/>
                <w:color w:val="000000"/>
                <w:szCs w:val="20"/>
              </w:rPr>
              <w:t>3,438</w:t>
            </w:r>
          </w:p>
        </w:tc>
        <w:tc>
          <w:tcPr>
            <w:tcW w:w="1915" w:type="dxa"/>
            <w:vAlign w:val="center"/>
          </w:tcPr>
          <w:p w:rsidR="00C54A2A" w:rsidRPr="00A14C41" w:rsidRDefault="00C54A2A" w:rsidP="00A14C41">
            <w:pPr>
              <w:jc w:val="center"/>
              <w:rPr>
                <w:rFonts w:cs="Arial"/>
                <w:szCs w:val="20"/>
              </w:rPr>
            </w:pPr>
            <w:r>
              <w:rPr>
                <w:rFonts w:cs="Arial"/>
                <w:szCs w:val="20"/>
              </w:rPr>
              <w:t>1,038</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30.1</w:t>
            </w:r>
          </w:p>
        </w:tc>
      </w:tr>
      <w:tr w:rsidR="00C54A2A" w:rsidRPr="006748F4" w:rsidTr="00BF457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May</w:t>
            </w:r>
          </w:p>
        </w:tc>
        <w:tc>
          <w:tcPr>
            <w:tcW w:w="1915" w:type="dxa"/>
            <w:vAlign w:val="center"/>
          </w:tcPr>
          <w:p w:rsidR="00C54A2A" w:rsidRDefault="00C54A2A">
            <w:pPr>
              <w:jc w:val="center"/>
              <w:rPr>
                <w:rFonts w:cs="Arial"/>
                <w:color w:val="000000"/>
                <w:szCs w:val="20"/>
              </w:rPr>
            </w:pPr>
            <w:r>
              <w:rPr>
                <w:rFonts w:cs="Arial"/>
                <w:color w:val="000000"/>
                <w:szCs w:val="20"/>
              </w:rPr>
              <w:t>4,633</w:t>
            </w:r>
          </w:p>
        </w:tc>
        <w:tc>
          <w:tcPr>
            <w:tcW w:w="1915" w:type="dxa"/>
            <w:vAlign w:val="center"/>
          </w:tcPr>
          <w:p w:rsidR="00C54A2A" w:rsidRPr="00A14C41" w:rsidRDefault="00404996" w:rsidP="00A14C41">
            <w:pPr>
              <w:jc w:val="center"/>
              <w:rPr>
                <w:rFonts w:cs="Arial"/>
                <w:szCs w:val="20"/>
              </w:rPr>
            </w:pPr>
            <w:r>
              <w:rPr>
                <w:rFonts w:cs="Arial"/>
                <w:szCs w:val="20"/>
              </w:rPr>
              <w:t>1,272</w:t>
            </w:r>
          </w:p>
        </w:tc>
        <w:tc>
          <w:tcPr>
            <w:tcW w:w="1916" w:type="dxa"/>
            <w:tcBorders>
              <w:right w:val="single" w:sz="12" w:space="0" w:color="auto"/>
            </w:tcBorders>
            <w:shd w:val="clear" w:color="auto" w:fill="auto"/>
            <w:vAlign w:val="center"/>
          </w:tcPr>
          <w:p w:rsidR="00C54A2A" w:rsidRPr="00BF4571" w:rsidRDefault="00C54A2A" w:rsidP="00A14C41">
            <w:pPr>
              <w:jc w:val="center"/>
              <w:rPr>
                <w:rFonts w:cs="Arial"/>
                <w:szCs w:val="20"/>
              </w:rPr>
            </w:pPr>
            <w:r w:rsidRPr="00BF4571">
              <w:rPr>
                <w:rFonts w:cs="Arial"/>
                <w:szCs w:val="20"/>
              </w:rPr>
              <w:t>27.4</w:t>
            </w:r>
          </w:p>
        </w:tc>
      </w:tr>
      <w:tr w:rsidR="00C54A2A" w:rsidRPr="006748F4" w:rsidTr="00BF457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June</w:t>
            </w:r>
          </w:p>
        </w:tc>
        <w:tc>
          <w:tcPr>
            <w:tcW w:w="1915" w:type="dxa"/>
            <w:vAlign w:val="center"/>
          </w:tcPr>
          <w:p w:rsidR="00C54A2A" w:rsidRDefault="00C54A2A">
            <w:pPr>
              <w:jc w:val="center"/>
              <w:rPr>
                <w:rFonts w:cs="Arial"/>
                <w:color w:val="000000"/>
                <w:szCs w:val="20"/>
              </w:rPr>
            </w:pPr>
            <w:r>
              <w:rPr>
                <w:rFonts w:cs="Arial"/>
                <w:color w:val="000000"/>
                <w:szCs w:val="20"/>
              </w:rPr>
              <w:t>3,831</w:t>
            </w:r>
          </w:p>
        </w:tc>
        <w:tc>
          <w:tcPr>
            <w:tcW w:w="1915" w:type="dxa"/>
            <w:vAlign w:val="center"/>
          </w:tcPr>
          <w:p w:rsidR="00C54A2A" w:rsidRPr="00386B78" w:rsidRDefault="00754C2F" w:rsidP="00754C2F">
            <w:pPr>
              <w:jc w:val="center"/>
              <w:rPr>
                <w:rFonts w:cs="Arial"/>
                <w:color w:val="000000"/>
                <w:szCs w:val="20"/>
              </w:rPr>
            </w:pPr>
            <w:r w:rsidRPr="00386B78">
              <w:rPr>
                <w:rFonts w:cs="Arial"/>
                <w:color w:val="000000"/>
                <w:szCs w:val="20"/>
              </w:rPr>
              <w:t>1,063</w:t>
            </w:r>
          </w:p>
        </w:tc>
        <w:tc>
          <w:tcPr>
            <w:tcW w:w="1916" w:type="dxa"/>
            <w:tcBorders>
              <w:right w:val="single" w:sz="12" w:space="0" w:color="auto"/>
            </w:tcBorders>
            <w:shd w:val="clear" w:color="auto" w:fill="auto"/>
            <w:vAlign w:val="center"/>
          </w:tcPr>
          <w:p w:rsidR="00C54A2A" w:rsidRPr="00BF4571" w:rsidRDefault="00BF4571" w:rsidP="00A14C41">
            <w:pPr>
              <w:jc w:val="center"/>
              <w:rPr>
                <w:rFonts w:cs="Arial"/>
                <w:szCs w:val="20"/>
              </w:rPr>
            </w:pPr>
            <w:r w:rsidRPr="00BF4571">
              <w:rPr>
                <w:rFonts w:cs="Arial"/>
                <w:szCs w:val="20"/>
              </w:rPr>
              <w:t>27.5</w:t>
            </w:r>
          </w:p>
        </w:tc>
      </w:tr>
      <w:tr w:rsidR="00C54A2A" w:rsidRPr="004E113C"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July</w:t>
            </w:r>
          </w:p>
        </w:tc>
        <w:tc>
          <w:tcPr>
            <w:tcW w:w="1915" w:type="dxa"/>
            <w:vAlign w:val="center"/>
          </w:tcPr>
          <w:p w:rsidR="00C54A2A" w:rsidRDefault="00C54A2A">
            <w:pPr>
              <w:jc w:val="center"/>
              <w:rPr>
                <w:rFonts w:cs="Arial"/>
                <w:color w:val="000000"/>
                <w:szCs w:val="20"/>
              </w:rPr>
            </w:pPr>
            <w:r>
              <w:rPr>
                <w:rFonts w:cs="Arial"/>
                <w:color w:val="000000"/>
                <w:szCs w:val="20"/>
              </w:rPr>
              <w:t>4,376</w:t>
            </w:r>
          </w:p>
        </w:tc>
        <w:tc>
          <w:tcPr>
            <w:tcW w:w="1915" w:type="dxa"/>
            <w:vAlign w:val="center"/>
          </w:tcPr>
          <w:p w:rsidR="00C54A2A" w:rsidRPr="00A14C41" w:rsidRDefault="00C54A2A" w:rsidP="00A14C41">
            <w:pPr>
              <w:jc w:val="center"/>
              <w:rPr>
                <w:rFonts w:cs="Arial"/>
                <w:szCs w:val="20"/>
              </w:rPr>
            </w:pPr>
            <w:r>
              <w:rPr>
                <w:rFonts w:cs="Arial"/>
                <w:szCs w:val="20"/>
              </w:rPr>
              <w:t>1,005</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23.0</w:t>
            </w:r>
          </w:p>
        </w:tc>
      </w:tr>
      <w:tr w:rsidR="00C54A2A" w:rsidRPr="004E113C"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August</w:t>
            </w:r>
          </w:p>
        </w:tc>
        <w:tc>
          <w:tcPr>
            <w:tcW w:w="1915" w:type="dxa"/>
            <w:vAlign w:val="center"/>
          </w:tcPr>
          <w:p w:rsidR="00C54A2A" w:rsidRDefault="00C54A2A">
            <w:pPr>
              <w:jc w:val="center"/>
              <w:rPr>
                <w:rFonts w:cs="Arial"/>
                <w:color w:val="000000"/>
                <w:szCs w:val="20"/>
              </w:rPr>
            </w:pPr>
            <w:r>
              <w:rPr>
                <w:rFonts w:cs="Arial"/>
                <w:color w:val="000000"/>
                <w:szCs w:val="20"/>
              </w:rPr>
              <w:t>3,737</w:t>
            </w:r>
          </w:p>
        </w:tc>
        <w:tc>
          <w:tcPr>
            <w:tcW w:w="1915" w:type="dxa"/>
            <w:vAlign w:val="center"/>
          </w:tcPr>
          <w:p w:rsidR="00C54A2A" w:rsidRPr="00A14C41" w:rsidRDefault="00C54A2A" w:rsidP="00A14C41">
            <w:pPr>
              <w:jc w:val="center"/>
              <w:rPr>
                <w:rFonts w:cs="Arial"/>
                <w:szCs w:val="20"/>
              </w:rPr>
            </w:pPr>
            <w:r>
              <w:rPr>
                <w:rFonts w:cs="Arial"/>
                <w:szCs w:val="20"/>
              </w:rPr>
              <w:t>935</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25.0</w:t>
            </w:r>
          </w:p>
        </w:tc>
      </w:tr>
      <w:tr w:rsidR="00C54A2A" w:rsidRPr="004E113C"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September</w:t>
            </w:r>
          </w:p>
        </w:tc>
        <w:tc>
          <w:tcPr>
            <w:tcW w:w="1915" w:type="dxa"/>
            <w:vAlign w:val="center"/>
          </w:tcPr>
          <w:p w:rsidR="00C54A2A" w:rsidRDefault="00C54A2A">
            <w:pPr>
              <w:jc w:val="center"/>
              <w:rPr>
                <w:rFonts w:cs="Arial"/>
                <w:color w:val="000000"/>
                <w:szCs w:val="20"/>
              </w:rPr>
            </w:pPr>
            <w:r>
              <w:rPr>
                <w:rFonts w:cs="Arial"/>
                <w:color w:val="000000"/>
                <w:szCs w:val="20"/>
              </w:rPr>
              <w:t>3,746</w:t>
            </w:r>
          </w:p>
        </w:tc>
        <w:tc>
          <w:tcPr>
            <w:tcW w:w="1915" w:type="dxa"/>
            <w:vAlign w:val="center"/>
          </w:tcPr>
          <w:p w:rsidR="00C54A2A" w:rsidRPr="00A14C41" w:rsidRDefault="00C54A2A" w:rsidP="00A14C41">
            <w:pPr>
              <w:jc w:val="center"/>
              <w:rPr>
                <w:rFonts w:cs="Arial"/>
                <w:szCs w:val="20"/>
              </w:rPr>
            </w:pPr>
            <w:r>
              <w:rPr>
                <w:rFonts w:cs="Arial"/>
                <w:szCs w:val="20"/>
              </w:rPr>
              <w:t>889</w:t>
            </w:r>
          </w:p>
        </w:tc>
        <w:tc>
          <w:tcPr>
            <w:tcW w:w="1916" w:type="dxa"/>
            <w:tcBorders>
              <w:right w:val="single" w:sz="12" w:space="0" w:color="auto"/>
            </w:tcBorders>
            <w:vAlign w:val="center"/>
          </w:tcPr>
          <w:p w:rsidR="00C54A2A" w:rsidRPr="00A14C41" w:rsidRDefault="00BF4571" w:rsidP="00A14C41">
            <w:pPr>
              <w:jc w:val="center"/>
              <w:rPr>
                <w:rFonts w:cs="Arial"/>
                <w:szCs w:val="20"/>
              </w:rPr>
            </w:pPr>
            <w:r>
              <w:rPr>
                <w:rFonts w:cs="Arial"/>
                <w:szCs w:val="20"/>
              </w:rPr>
              <w:t>23.8</w:t>
            </w:r>
          </w:p>
        </w:tc>
      </w:tr>
      <w:tr w:rsidR="00C54A2A" w:rsidRPr="004E113C"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October</w:t>
            </w:r>
          </w:p>
        </w:tc>
        <w:tc>
          <w:tcPr>
            <w:tcW w:w="1915" w:type="dxa"/>
            <w:vAlign w:val="center"/>
          </w:tcPr>
          <w:p w:rsidR="00C54A2A" w:rsidRDefault="00C54A2A">
            <w:pPr>
              <w:jc w:val="center"/>
              <w:rPr>
                <w:rFonts w:cs="Arial"/>
                <w:color w:val="000000"/>
                <w:szCs w:val="20"/>
              </w:rPr>
            </w:pPr>
            <w:r>
              <w:rPr>
                <w:rFonts w:cs="Arial"/>
                <w:color w:val="000000"/>
                <w:szCs w:val="20"/>
              </w:rPr>
              <w:t>5,798</w:t>
            </w:r>
          </w:p>
        </w:tc>
        <w:tc>
          <w:tcPr>
            <w:tcW w:w="1915" w:type="dxa"/>
            <w:vAlign w:val="center"/>
          </w:tcPr>
          <w:p w:rsidR="00C54A2A" w:rsidRPr="00A14C41" w:rsidRDefault="00C54A2A" w:rsidP="00A14C41">
            <w:pPr>
              <w:jc w:val="center"/>
              <w:rPr>
                <w:rFonts w:cs="Arial"/>
                <w:szCs w:val="20"/>
              </w:rPr>
            </w:pPr>
            <w:r>
              <w:rPr>
                <w:rFonts w:cs="Arial"/>
                <w:szCs w:val="20"/>
              </w:rPr>
              <w:t>1,345</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23.3</w:t>
            </w:r>
          </w:p>
        </w:tc>
      </w:tr>
      <w:tr w:rsidR="00C54A2A" w:rsidRPr="004E113C" w:rsidTr="00A14C41">
        <w:trPr>
          <w:trHeight w:hRule="exact" w:val="317"/>
        </w:trPr>
        <w:tc>
          <w:tcPr>
            <w:tcW w:w="1915" w:type="dxa"/>
            <w:tcBorders>
              <w:left w:val="single" w:sz="12" w:space="0" w:color="auto"/>
            </w:tcBorders>
            <w:vAlign w:val="center"/>
          </w:tcPr>
          <w:p w:rsidR="00C54A2A" w:rsidRPr="00A14C41" w:rsidRDefault="00C54A2A" w:rsidP="00A14C41">
            <w:pPr>
              <w:jc w:val="center"/>
              <w:rPr>
                <w:rFonts w:cs="Arial"/>
                <w:szCs w:val="20"/>
              </w:rPr>
            </w:pPr>
            <w:r w:rsidRPr="00A14C41">
              <w:rPr>
                <w:rFonts w:cs="Arial"/>
                <w:color w:val="000000"/>
                <w:szCs w:val="20"/>
              </w:rPr>
              <w:t>2012</w:t>
            </w:r>
          </w:p>
        </w:tc>
        <w:tc>
          <w:tcPr>
            <w:tcW w:w="1915" w:type="dxa"/>
            <w:vAlign w:val="center"/>
          </w:tcPr>
          <w:p w:rsidR="00C54A2A" w:rsidRPr="00A14C41" w:rsidRDefault="00C54A2A" w:rsidP="00A14C41">
            <w:pPr>
              <w:jc w:val="center"/>
              <w:rPr>
                <w:rFonts w:cs="Arial"/>
                <w:color w:val="000000"/>
                <w:szCs w:val="20"/>
              </w:rPr>
            </w:pPr>
            <w:r w:rsidRPr="00A14C41">
              <w:rPr>
                <w:rFonts w:cs="Arial"/>
                <w:color w:val="000000"/>
                <w:szCs w:val="20"/>
              </w:rPr>
              <w:t>November</w:t>
            </w:r>
          </w:p>
        </w:tc>
        <w:tc>
          <w:tcPr>
            <w:tcW w:w="1915" w:type="dxa"/>
            <w:vAlign w:val="center"/>
          </w:tcPr>
          <w:p w:rsidR="00C54A2A" w:rsidRDefault="00C54A2A">
            <w:pPr>
              <w:jc w:val="center"/>
              <w:rPr>
                <w:rFonts w:cs="Arial"/>
                <w:color w:val="000000"/>
                <w:szCs w:val="20"/>
              </w:rPr>
            </w:pPr>
            <w:r>
              <w:rPr>
                <w:rFonts w:cs="Arial"/>
                <w:color w:val="000000"/>
                <w:szCs w:val="20"/>
              </w:rPr>
              <w:t>4,403</w:t>
            </w:r>
          </w:p>
        </w:tc>
        <w:tc>
          <w:tcPr>
            <w:tcW w:w="1915" w:type="dxa"/>
            <w:vAlign w:val="center"/>
          </w:tcPr>
          <w:p w:rsidR="00C54A2A" w:rsidRPr="00A14C41" w:rsidRDefault="00C54A2A" w:rsidP="00A14C41">
            <w:pPr>
              <w:jc w:val="center"/>
              <w:rPr>
                <w:rFonts w:cs="Arial"/>
                <w:szCs w:val="20"/>
              </w:rPr>
            </w:pPr>
            <w:r>
              <w:rPr>
                <w:rFonts w:cs="Arial"/>
                <w:szCs w:val="20"/>
              </w:rPr>
              <w:t>1,134</w:t>
            </w:r>
          </w:p>
        </w:tc>
        <w:tc>
          <w:tcPr>
            <w:tcW w:w="1916" w:type="dxa"/>
            <w:tcBorders>
              <w:right w:val="single" w:sz="12" w:space="0" w:color="auto"/>
            </w:tcBorders>
            <w:vAlign w:val="center"/>
          </w:tcPr>
          <w:p w:rsidR="00C54A2A" w:rsidRPr="00A14C41" w:rsidRDefault="00C54A2A" w:rsidP="00A14C41">
            <w:pPr>
              <w:jc w:val="center"/>
              <w:rPr>
                <w:rFonts w:cs="Arial"/>
                <w:szCs w:val="20"/>
              </w:rPr>
            </w:pPr>
            <w:r>
              <w:rPr>
                <w:rFonts w:cs="Arial"/>
                <w:szCs w:val="20"/>
              </w:rPr>
              <w:t>25.7</w:t>
            </w:r>
          </w:p>
        </w:tc>
      </w:tr>
      <w:tr w:rsidR="00C54A2A" w:rsidRPr="004E113C" w:rsidTr="00500461">
        <w:trPr>
          <w:trHeight w:hRule="exact" w:val="317"/>
        </w:trPr>
        <w:tc>
          <w:tcPr>
            <w:tcW w:w="1915" w:type="dxa"/>
            <w:tcBorders>
              <w:left w:val="single" w:sz="12" w:space="0" w:color="auto"/>
              <w:bottom w:val="single" w:sz="12" w:space="0" w:color="auto"/>
            </w:tcBorders>
            <w:vAlign w:val="center"/>
          </w:tcPr>
          <w:p w:rsidR="00C54A2A" w:rsidRPr="00A14C41" w:rsidRDefault="00C54A2A" w:rsidP="00500461">
            <w:pPr>
              <w:jc w:val="center"/>
              <w:rPr>
                <w:rFonts w:cs="Arial"/>
                <w:szCs w:val="20"/>
              </w:rPr>
            </w:pPr>
            <w:r w:rsidRPr="00A14C41">
              <w:rPr>
                <w:rFonts w:cs="Arial"/>
                <w:color w:val="000000"/>
                <w:szCs w:val="20"/>
              </w:rPr>
              <w:t>2012</w:t>
            </w:r>
          </w:p>
        </w:tc>
        <w:tc>
          <w:tcPr>
            <w:tcW w:w="1915" w:type="dxa"/>
            <w:tcBorders>
              <w:bottom w:val="single" w:sz="12" w:space="0" w:color="auto"/>
            </w:tcBorders>
            <w:vAlign w:val="center"/>
          </w:tcPr>
          <w:p w:rsidR="00C54A2A" w:rsidRPr="00A14C41" w:rsidRDefault="00C54A2A" w:rsidP="00500461">
            <w:pPr>
              <w:jc w:val="center"/>
              <w:rPr>
                <w:rFonts w:cs="Arial"/>
                <w:color w:val="000000"/>
                <w:szCs w:val="20"/>
              </w:rPr>
            </w:pPr>
            <w:r w:rsidRPr="00A14C41">
              <w:rPr>
                <w:rFonts w:cs="Arial"/>
                <w:color w:val="000000"/>
                <w:szCs w:val="20"/>
              </w:rPr>
              <w:t>December</w:t>
            </w:r>
          </w:p>
        </w:tc>
        <w:tc>
          <w:tcPr>
            <w:tcW w:w="1915" w:type="dxa"/>
            <w:tcBorders>
              <w:bottom w:val="single" w:sz="12" w:space="0" w:color="auto"/>
            </w:tcBorders>
            <w:vAlign w:val="center"/>
          </w:tcPr>
          <w:p w:rsidR="00C54A2A" w:rsidRDefault="00C54A2A">
            <w:pPr>
              <w:jc w:val="center"/>
              <w:rPr>
                <w:rFonts w:cs="Arial"/>
                <w:color w:val="000000"/>
                <w:szCs w:val="20"/>
              </w:rPr>
            </w:pPr>
            <w:r>
              <w:rPr>
                <w:rFonts w:cs="Arial"/>
                <w:color w:val="000000"/>
                <w:szCs w:val="20"/>
              </w:rPr>
              <w:t>4,038</w:t>
            </w:r>
          </w:p>
        </w:tc>
        <w:tc>
          <w:tcPr>
            <w:tcW w:w="1915" w:type="dxa"/>
            <w:tcBorders>
              <w:bottom w:val="single" w:sz="12" w:space="0" w:color="auto"/>
            </w:tcBorders>
            <w:vAlign w:val="center"/>
          </w:tcPr>
          <w:p w:rsidR="00C54A2A" w:rsidRPr="00A14C41" w:rsidRDefault="00C54A2A" w:rsidP="00500461">
            <w:pPr>
              <w:jc w:val="center"/>
              <w:rPr>
                <w:rFonts w:cs="Arial"/>
                <w:szCs w:val="20"/>
              </w:rPr>
            </w:pPr>
            <w:r>
              <w:rPr>
                <w:rFonts w:cs="Arial"/>
                <w:szCs w:val="20"/>
              </w:rPr>
              <w:t>989</w:t>
            </w:r>
          </w:p>
        </w:tc>
        <w:tc>
          <w:tcPr>
            <w:tcW w:w="1916" w:type="dxa"/>
            <w:tcBorders>
              <w:bottom w:val="single" w:sz="12" w:space="0" w:color="auto"/>
              <w:right w:val="single" w:sz="12" w:space="0" w:color="auto"/>
            </w:tcBorders>
            <w:vAlign w:val="center"/>
          </w:tcPr>
          <w:p w:rsidR="00C54A2A" w:rsidRPr="00A14C41" w:rsidRDefault="00C54A2A" w:rsidP="00500461">
            <w:pPr>
              <w:jc w:val="center"/>
              <w:rPr>
                <w:rFonts w:cs="Arial"/>
                <w:szCs w:val="20"/>
              </w:rPr>
            </w:pPr>
            <w:r>
              <w:rPr>
                <w:rFonts w:cs="Arial"/>
                <w:szCs w:val="20"/>
              </w:rPr>
              <w:t>24.5</w:t>
            </w:r>
          </w:p>
        </w:tc>
      </w:tr>
      <w:tr w:rsidR="0072006F" w:rsidTr="00500461">
        <w:trPr>
          <w:trHeight w:hRule="exact" w:val="317"/>
        </w:trPr>
        <w:tc>
          <w:tcPr>
            <w:tcW w:w="1915" w:type="dxa"/>
            <w:tcBorders>
              <w:left w:val="single" w:sz="12" w:space="0" w:color="auto"/>
              <w:bottom w:val="single" w:sz="12" w:space="0" w:color="auto"/>
            </w:tcBorders>
            <w:vAlign w:val="center"/>
          </w:tcPr>
          <w:p w:rsidR="0072006F" w:rsidRPr="003E1645" w:rsidRDefault="0072006F" w:rsidP="00500461">
            <w:pPr>
              <w:jc w:val="center"/>
              <w:rPr>
                <w:b/>
              </w:rPr>
            </w:pPr>
            <w:r w:rsidRPr="003E1645">
              <w:rPr>
                <w:rFonts w:cs="Arial"/>
                <w:b/>
                <w:color w:val="000000"/>
                <w:szCs w:val="20"/>
              </w:rPr>
              <w:t>2012</w:t>
            </w:r>
          </w:p>
        </w:tc>
        <w:tc>
          <w:tcPr>
            <w:tcW w:w="1915" w:type="dxa"/>
            <w:tcBorders>
              <w:bottom w:val="single" w:sz="12" w:space="0" w:color="auto"/>
            </w:tcBorders>
            <w:vAlign w:val="center"/>
          </w:tcPr>
          <w:p w:rsidR="0072006F" w:rsidRPr="003E1645" w:rsidRDefault="0072006F" w:rsidP="00500461">
            <w:pPr>
              <w:jc w:val="center"/>
              <w:rPr>
                <w:rFonts w:cs="Arial"/>
                <w:b/>
                <w:color w:val="000000"/>
                <w:szCs w:val="20"/>
              </w:rPr>
            </w:pPr>
          </w:p>
        </w:tc>
        <w:tc>
          <w:tcPr>
            <w:tcW w:w="1915" w:type="dxa"/>
            <w:tcBorders>
              <w:bottom w:val="single" w:sz="12" w:space="0" w:color="auto"/>
            </w:tcBorders>
            <w:vAlign w:val="center"/>
          </w:tcPr>
          <w:p w:rsidR="0072006F" w:rsidRPr="003E1645" w:rsidRDefault="003E1645" w:rsidP="00500461">
            <w:pPr>
              <w:jc w:val="center"/>
              <w:rPr>
                <w:rFonts w:cs="Arial"/>
                <w:b/>
              </w:rPr>
            </w:pPr>
            <w:r w:rsidRPr="003E1645">
              <w:rPr>
                <w:rFonts w:cs="Arial"/>
                <w:b/>
              </w:rPr>
              <w:t xml:space="preserve">Total: </w:t>
            </w:r>
            <w:r w:rsidR="00C54A2A">
              <w:rPr>
                <w:rFonts w:cs="Arial"/>
                <w:b/>
              </w:rPr>
              <w:t>50,804</w:t>
            </w:r>
          </w:p>
        </w:tc>
        <w:tc>
          <w:tcPr>
            <w:tcW w:w="1915" w:type="dxa"/>
            <w:tcBorders>
              <w:bottom w:val="single" w:sz="12" w:space="0" w:color="auto"/>
            </w:tcBorders>
            <w:vAlign w:val="center"/>
          </w:tcPr>
          <w:p w:rsidR="0072006F" w:rsidRPr="003E1645" w:rsidRDefault="003E1645" w:rsidP="00500461">
            <w:pPr>
              <w:jc w:val="center"/>
              <w:rPr>
                <w:rFonts w:cs="Arial"/>
                <w:b/>
              </w:rPr>
            </w:pPr>
            <w:r w:rsidRPr="003E1645">
              <w:rPr>
                <w:rFonts w:cs="Arial"/>
                <w:b/>
              </w:rPr>
              <w:t>Total:</w:t>
            </w:r>
            <w:r w:rsidR="00876541">
              <w:rPr>
                <w:rFonts w:cs="Arial"/>
                <w:b/>
              </w:rPr>
              <w:t xml:space="preserve"> 13,029</w:t>
            </w:r>
          </w:p>
        </w:tc>
        <w:tc>
          <w:tcPr>
            <w:tcW w:w="1916" w:type="dxa"/>
            <w:tcBorders>
              <w:bottom w:val="single" w:sz="12" w:space="0" w:color="auto"/>
              <w:right w:val="single" w:sz="12" w:space="0" w:color="auto"/>
            </w:tcBorders>
            <w:vAlign w:val="center"/>
          </w:tcPr>
          <w:p w:rsidR="0072006F" w:rsidRPr="003E1645" w:rsidRDefault="003E1645" w:rsidP="00876541">
            <w:pPr>
              <w:jc w:val="center"/>
              <w:rPr>
                <w:rFonts w:cs="Arial"/>
                <w:b/>
              </w:rPr>
            </w:pPr>
            <w:r w:rsidRPr="003E1645">
              <w:rPr>
                <w:rFonts w:cs="Arial"/>
                <w:b/>
              </w:rPr>
              <w:t>Average:</w:t>
            </w:r>
            <w:r w:rsidR="0040268A">
              <w:rPr>
                <w:rFonts w:cs="Arial"/>
                <w:b/>
              </w:rPr>
              <w:t xml:space="preserve"> </w:t>
            </w:r>
            <w:r w:rsidR="00BF4571">
              <w:rPr>
                <w:rFonts w:cs="Arial"/>
                <w:b/>
              </w:rPr>
              <w:t>25.7</w:t>
            </w:r>
          </w:p>
        </w:tc>
      </w:tr>
    </w:tbl>
    <w:p w:rsidR="004464B0" w:rsidRDefault="004464B0">
      <w:pPr>
        <w:spacing w:after="200" w:line="276" w:lineRule="auto"/>
        <w:rPr>
          <w:b/>
        </w:rPr>
      </w:pPr>
      <w:r>
        <w:rPr>
          <w:b/>
        </w:rPr>
        <w:br w:type="page"/>
      </w:r>
    </w:p>
    <w:p w:rsidR="004464B0" w:rsidRPr="008A2EA8" w:rsidRDefault="004464B0" w:rsidP="004464B0">
      <w:pPr>
        <w:spacing w:after="200" w:line="276" w:lineRule="auto"/>
        <w:rPr>
          <w:b/>
        </w:rPr>
      </w:pPr>
      <w:r>
        <w:rPr>
          <w:b/>
        </w:rPr>
        <w:lastRenderedPageBreak/>
        <w:t>Table 1</w:t>
      </w:r>
      <w:r w:rsidR="00B4619F">
        <w:rPr>
          <w:b/>
        </w:rPr>
        <w:t xml:space="preserve"> cont’d</w:t>
      </w:r>
      <w:r w:rsidRPr="008A2EA8">
        <w:rPr>
          <w:b/>
        </w:rPr>
        <w:t>: Monthly Biosolids Production</w:t>
      </w:r>
      <w:r w:rsidR="00B4619F">
        <w:rPr>
          <w:b/>
        </w:rPr>
        <w:t xml:space="preserve"> January 2012</w:t>
      </w:r>
      <w:r>
        <w:rPr>
          <w:b/>
        </w:rPr>
        <w:t xml:space="preserve"> – September 2015</w:t>
      </w:r>
    </w:p>
    <w:tbl>
      <w:tblPr>
        <w:tblStyle w:val="TableGrid"/>
        <w:tblW w:w="0" w:type="auto"/>
        <w:tblLook w:val="04A0" w:firstRow="1" w:lastRow="0" w:firstColumn="1" w:lastColumn="0" w:noHBand="0" w:noVBand="1"/>
      </w:tblPr>
      <w:tblGrid>
        <w:gridCol w:w="1915"/>
        <w:gridCol w:w="1915"/>
        <w:gridCol w:w="1915"/>
        <w:gridCol w:w="1915"/>
        <w:gridCol w:w="1916"/>
      </w:tblGrid>
      <w:tr w:rsidR="004464B0" w:rsidRPr="00AD0EB4" w:rsidTr="00316955">
        <w:trPr>
          <w:trHeight w:hRule="exact" w:val="317"/>
        </w:trPr>
        <w:tc>
          <w:tcPr>
            <w:tcW w:w="1915" w:type="dxa"/>
            <w:tcBorders>
              <w:top w:val="single" w:sz="12" w:space="0" w:color="auto"/>
              <w:left w:val="single" w:sz="12" w:space="0" w:color="auto"/>
            </w:tcBorders>
            <w:shd w:val="clear" w:color="auto" w:fill="BFBFBF" w:themeFill="background1" w:themeFillShade="BF"/>
            <w:vAlign w:val="center"/>
          </w:tcPr>
          <w:p w:rsidR="004464B0" w:rsidRPr="00AD0EB4" w:rsidRDefault="004464B0" w:rsidP="00316955">
            <w:pPr>
              <w:jc w:val="center"/>
              <w:rPr>
                <w:rFonts w:cs="Arial"/>
                <w:b/>
                <w:color w:val="000000"/>
                <w:szCs w:val="20"/>
              </w:rPr>
            </w:pPr>
            <w:r w:rsidRPr="00AD0EB4">
              <w:rPr>
                <w:rFonts w:cs="Arial"/>
                <w:b/>
                <w:color w:val="000000"/>
                <w:szCs w:val="20"/>
              </w:rPr>
              <w:t>Year</w:t>
            </w:r>
          </w:p>
        </w:tc>
        <w:tc>
          <w:tcPr>
            <w:tcW w:w="1915" w:type="dxa"/>
            <w:tcBorders>
              <w:top w:val="single" w:sz="12" w:space="0" w:color="auto"/>
            </w:tcBorders>
            <w:shd w:val="clear" w:color="auto" w:fill="BFBFBF" w:themeFill="background1" w:themeFillShade="BF"/>
            <w:vAlign w:val="center"/>
          </w:tcPr>
          <w:p w:rsidR="004464B0" w:rsidRPr="00AD0EB4" w:rsidRDefault="004464B0" w:rsidP="00316955">
            <w:pPr>
              <w:jc w:val="center"/>
              <w:rPr>
                <w:rFonts w:cs="Arial"/>
                <w:b/>
                <w:color w:val="000000"/>
                <w:szCs w:val="20"/>
              </w:rPr>
            </w:pPr>
            <w:r w:rsidRPr="00AD0EB4">
              <w:rPr>
                <w:rFonts w:cs="Arial"/>
                <w:b/>
                <w:color w:val="000000"/>
                <w:szCs w:val="20"/>
              </w:rPr>
              <w:t>Month</w:t>
            </w:r>
          </w:p>
        </w:tc>
        <w:tc>
          <w:tcPr>
            <w:tcW w:w="1915" w:type="dxa"/>
            <w:tcBorders>
              <w:top w:val="single" w:sz="12" w:space="0" w:color="auto"/>
            </w:tcBorders>
            <w:shd w:val="clear" w:color="auto" w:fill="BFBFBF" w:themeFill="background1" w:themeFillShade="BF"/>
            <w:vAlign w:val="center"/>
          </w:tcPr>
          <w:p w:rsidR="004464B0" w:rsidRPr="00AD0EB4" w:rsidRDefault="004464B0" w:rsidP="00316955">
            <w:pPr>
              <w:jc w:val="center"/>
              <w:rPr>
                <w:b/>
              </w:rPr>
            </w:pPr>
            <w:r w:rsidRPr="00AD0EB4">
              <w:rPr>
                <w:b/>
              </w:rPr>
              <w:t>Wet Tonne</w:t>
            </w:r>
          </w:p>
        </w:tc>
        <w:tc>
          <w:tcPr>
            <w:tcW w:w="1915" w:type="dxa"/>
            <w:tcBorders>
              <w:top w:val="single" w:sz="12" w:space="0" w:color="auto"/>
            </w:tcBorders>
            <w:shd w:val="clear" w:color="auto" w:fill="BFBFBF" w:themeFill="background1" w:themeFillShade="BF"/>
            <w:vAlign w:val="center"/>
          </w:tcPr>
          <w:p w:rsidR="004464B0" w:rsidRPr="00AD0EB4" w:rsidRDefault="004464B0" w:rsidP="00316955">
            <w:pPr>
              <w:jc w:val="center"/>
              <w:rPr>
                <w:b/>
              </w:rPr>
            </w:pPr>
            <w:r w:rsidRPr="00AD0EB4">
              <w:rPr>
                <w:b/>
              </w:rPr>
              <w:t>Dry Tonne</w:t>
            </w:r>
          </w:p>
        </w:tc>
        <w:tc>
          <w:tcPr>
            <w:tcW w:w="1916" w:type="dxa"/>
            <w:tcBorders>
              <w:top w:val="single" w:sz="12" w:space="0" w:color="auto"/>
              <w:right w:val="single" w:sz="12" w:space="0" w:color="auto"/>
            </w:tcBorders>
            <w:shd w:val="clear" w:color="auto" w:fill="BFBFBF" w:themeFill="background1" w:themeFillShade="BF"/>
            <w:vAlign w:val="center"/>
          </w:tcPr>
          <w:p w:rsidR="004464B0" w:rsidRPr="00AD0EB4" w:rsidRDefault="004464B0" w:rsidP="00316955">
            <w:pPr>
              <w:jc w:val="center"/>
              <w:rPr>
                <w:b/>
              </w:rPr>
            </w:pPr>
            <w:r w:rsidRPr="00AD0EB4">
              <w:rPr>
                <w:b/>
              </w:rPr>
              <w:t xml:space="preserve">% </w:t>
            </w:r>
            <w:r>
              <w:rPr>
                <w:b/>
              </w:rPr>
              <w:t xml:space="preserve">Total </w:t>
            </w:r>
            <w:r w:rsidRPr="00AD0EB4">
              <w:rPr>
                <w:b/>
              </w:rPr>
              <w:t>Solids</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January</w:t>
            </w:r>
          </w:p>
        </w:tc>
        <w:tc>
          <w:tcPr>
            <w:tcW w:w="1915" w:type="dxa"/>
            <w:vAlign w:val="center"/>
          </w:tcPr>
          <w:p w:rsidR="004464B0" w:rsidRPr="006748F4" w:rsidRDefault="004464B0" w:rsidP="00316955">
            <w:pPr>
              <w:jc w:val="center"/>
              <w:rPr>
                <w:rFonts w:cs="Arial"/>
                <w:sz w:val="24"/>
              </w:rPr>
            </w:pPr>
            <w:r>
              <w:rPr>
                <w:rFonts w:cs="Arial"/>
              </w:rPr>
              <w:t>4,098</w:t>
            </w:r>
          </w:p>
        </w:tc>
        <w:tc>
          <w:tcPr>
            <w:tcW w:w="1915" w:type="dxa"/>
            <w:vAlign w:val="center"/>
          </w:tcPr>
          <w:p w:rsidR="004464B0" w:rsidRPr="006748F4" w:rsidRDefault="004464B0" w:rsidP="00316955">
            <w:pPr>
              <w:jc w:val="center"/>
              <w:rPr>
                <w:rFonts w:cs="Arial"/>
                <w:sz w:val="24"/>
              </w:rPr>
            </w:pPr>
            <w:r>
              <w:rPr>
                <w:rFonts w:cs="Arial"/>
              </w:rPr>
              <w:t>1,030</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25.1</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February</w:t>
            </w:r>
          </w:p>
        </w:tc>
        <w:tc>
          <w:tcPr>
            <w:tcW w:w="1915" w:type="dxa"/>
            <w:vAlign w:val="center"/>
          </w:tcPr>
          <w:p w:rsidR="004464B0" w:rsidRPr="006748F4" w:rsidRDefault="004464B0" w:rsidP="00316955">
            <w:pPr>
              <w:jc w:val="center"/>
              <w:rPr>
                <w:rFonts w:cs="Arial"/>
                <w:sz w:val="24"/>
              </w:rPr>
            </w:pPr>
            <w:r>
              <w:rPr>
                <w:rFonts w:cs="Arial"/>
              </w:rPr>
              <w:t>3,520</w:t>
            </w:r>
          </w:p>
        </w:tc>
        <w:tc>
          <w:tcPr>
            <w:tcW w:w="1915" w:type="dxa"/>
            <w:vAlign w:val="center"/>
          </w:tcPr>
          <w:p w:rsidR="004464B0" w:rsidRDefault="004464B0" w:rsidP="00316955">
            <w:pPr>
              <w:jc w:val="center"/>
              <w:rPr>
                <w:rFonts w:cs="Arial"/>
                <w:color w:val="000000"/>
                <w:szCs w:val="20"/>
              </w:rPr>
            </w:pPr>
            <w:r>
              <w:rPr>
                <w:rFonts w:cs="Arial"/>
              </w:rPr>
              <w:t>928</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26.3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March</w:t>
            </w:r>
          </w:p>
        </w:tc>
        <w:tc>
          <w:tcPr>
            <w:tcW w:w="1915" w:type="dxa"/>
            <w:vAlign w:val="center"/>
          </w:tcPr>
          <w:p w:rsidR="004464B0" w:rsidRPr="006748F4" w:rsidRDefault="004464B0" w:rsidP="00316955">
            <w:pPr>
              <w:jc w:val="center"/>
              <w:rPr>
                <w:rFonts w:cs="Arial"/>
                <w:sz w:val="24"/>
              </w:rPr>
            </w:pPr>
            <w:r>
              <w:rPr>
                <w:rFonts w:cs="Arial"/>
              </w:rPr>
              <w:t>3,885</w:t>
            </w:r>
          </w:p>
        </w:tc>
        <w:tc>
          <w:tcPr>
            <w:tcW w:w="1915" w:type="dxa"/>
            <w:vAlign w:val="center"/>
          </w:tcPr>
          <w:p w:rsidR="004464B0" w:rsidRPr="006748F4" w:rsidRDefault="004464B0" w:rsidP="00316955">
            <w:pPr>
              <w:jc w:val="center"/>
              <w:rPr>
                <w:rFonts w:cs="Arial"/>
                <w:sz w:val="24"/>
              </w:rPr>
            </w:pPr>
            <w:r>
              <w:rPr>
                <w:rFonts w:cs="Arial"/>
              </w:rPr>
              <w:t>1,043</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26.3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April</w:t>
            </w:r>
          </w:p>
        </w:tc>
        <w:tc>
          <w:tcPr>
            <w:tcW w:w="1915" w:type="dxa"/>
            <w:vAlign w:val="center"/>
          </w:tcPr>
          <w:p w:rsidR="004464B0" w:rsidRPr="006748F4" w:rsidRDefault="004464B0" w:rsidP="00316955">
            <w:pPr>
              <w:jc w:val="center"/>
              <w:rPr>
                <w:rFonts w:cs="Arial"/>
                <w:sz w:val="24"/>
              </w:rPr>
            </w:pPr>
            <w:r>
              <w:rPr>
                <w:rFonts w:cs="Arial"/>
              </w:rPr>
              <w:t>4,826</w:t>
            </w:r>
          </w:p>
        </w:tc>
        <w:tc>
          <w:tcPr>
            <w:tcW w:w="1915" w:type="dxa"/>
            <w:vAlign w:val="center"/>
          </w:tcPr>
          <w:p w:rsidR="004464B0" w:rsidRPr="006748F4" w:rsidRDefault="004464B0" w:rsidP="00316955">
            <w:pPr>
              <w:jc w:val="center"/>
              <w:rPr>
                <w:rFonts w:cs="Arial"/>
                <w:sz w:val="24"/>
              </w:rPr>
            </w:pPr>
            <w:r>
              <w:rPr>
                <w:rFonts w:cs="Arial"/>
              </w:rPr>
              <w:t>1,468</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30.5</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May</w:t>
            </w:r>
          </w:p>
        </w:tc>
        <w:tc>
          <w:tcPr>
            <w:tcW w:w="1915" w:type="dxa"/>
            <w:vAlign w:val="center"/>
          </w:tcPr>
          <w:p w:rsidR="004464B0" w:rsidRPr="006748F4" w:rsidRDefault="004464B0" w:rsidP="00316955">
            <w:pPr>
              <w:jc w:val="center"/>
              <w:rPr>
                <w:rFonts w:cs="Arial"/>
                <w:sz w:val="24"/>
              </w:rPr>
            </w:pPr>
            <w:r>
              <w:rPr>
                <w:rFonts w:cs="Arial"/>
              </w:rPr>
              <w:t>5,001</w:t>
            </w:r>
          </w:p>
        </w:tc>
        <w:tc>
          <w:tcPr>
            <w:tcW w:w="1915" w:type="dxa"/>
            <w:vAlign w:val="center"/>
          </w:tcPr>
          <w:p w:rsidR="004464B0" w:rsidRPr="006748F4" w:rsidRDefault="004464B0" w:rsidP="00316955">
            <w:pPr>
              <w:jc w:val="center"/>
              <w:rPr>
                <w:rFonts w:cs="Arial"/>
                <w:sz w:val="24"/>
              </w:rPr>
            </w:pPr>
            <w:r>
              <w:rPr>
                <w:rFonts w:cs="Arial"/>
              </w:rPr>
              <w:t>1,601</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32.0</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June</w:t>
            </w:r>
          </w:p>
        </w:tc>
        <w:tc>
          <w:tcPr>
            <w:tcW w:w="1915" w:type="dxa"/>
            <w:vAlign w:val="center"/>
          </w:tcPr>
          <w:p w:rsidR="004464B0" w:rsidRPr="006748F4" w:rsidRDefault="004464B0" w:rsidP="00316955">
            <w:pPr>
              <w:jc w:val="center"/>
              <w:rPr>
                <w:rFonts w:cs="Arial"/>
                <w:sz w:val="24"/>
              </w:rPr>
            </w:pPr>
            <w:r>
              <w:rPr>
                <w:rFonts w:cs="Arial"/>
              </w:rPr>
              <w:t>3,989</w:t>
            </w:r>
          </w:p>
        </w:tc>
        <w:tc>
          <w:tcPr>
            <w:tcW w:w="1915" w:type="dxa"/>
            <w:vAlign w:val="center"/>
          </w:tcPr>
          <w:p w:rsidR="004464B0" w:rsidRPr="006748F4" w:rsidRDefault="004464B0" w:rsidP="00316955">
            <w:pPr>
              <w:jc w:val="center"/>
              <w:rPr>
                <w:rFonts w:cs="Arial"/>
                <w:sz w:val="24"/>
              </w:rPr>
            </w:pPr>
            <w:r>
              <w:rPr>
                <w:rFonts w:cs="Arial"/>
              </w:rPr>
              <w:t>1,197</w:t>
            </w:r>
          </w:p>
        </w:tc>
        <w:tc>
          <w:tcPr>
            <w:tcW w:w="1916" w:type="dxa"/>
            <w:tcBorders>
              <w:right w:val="single" w:sz="12" w:space="0" w:color="auto"/>
            </w:tcBorders>
            <w:vAlign w:val="center"/>
          </w:tcPr>
          <w:p w:rsidR="004464B0" w:rsidRPr="006748F4" w:rsidRDefault="004464B0" w:rsidP="00316955">
            <w:pPr>
              <w:jc w:val="center"/>
              <w:rPr>
                <w:rFonts w:cs="Arial"/>
                <w:sz w:val="24"/>
              </w:rPr>
            </w:pPr>
            <w:r>
              <w:rPr>
                <w:rFonts w:cs="Arial"/>
              </w:rPr>
              <w:t>30.0</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July</w:t>
            </w:r>
          </w:p>
        </w:tc>
        <w:tc>
          <w:tcPr>
            <w:tcW w:w="1915" w:type="dxa"/>
            <w:vAlign w:val="center"/>
          </w:tcPr>
          <w:p w:rsidR="004464B0" w:rsidRPr="004E113C" w:rsidRDefault="004464B0" w:rsidP="00316955">
            <w:pPr>
              <w:jc w:val="center"/>
              <w:rPr>
                <w:rFonts w:cs="Arial"/>
                <w:sz w:val="24"/>
              </w:rPr>
            </w:pPr>
            <w:r>
              <w:rPr>
                <w:rFonts w:cs="Arial"/>
              </w:rPr>
              <w:t>4,692</w:t>
            </w:r>
          </w:p>
        </w:tc>
        <w:tc>
          <w:tcPr>
            <w:tcW w:w="1915" w:type="dxa"/>
            <w:vAlign w:val="center"/>
          </w:tcPr>
          <w:p w:rsidR="004464B0" w:rsidRPr="004E113C" w:rsidRDefault="004464B0" w:rsidP="00316955">
            <w:pPr>
              <w:jc w:val="center"/>
              <w:rPr>
                <w:rFonts w:cs="Arial"/>
                <w:sz w:val="24"/>
              </w:rPr>
            </w:pPr>
            <w:r>
              <w:rPr>
                <w:rFonts w:cs="Arial"/>
              </w:rPr>
              <w:t>1,249</w:t>
            </w:r>
          </w:p>
        </w:tc>
        <w:tc>
          <w:tcPr>
            <w:tcW w:w="1916" w:type="dxa"/>
            <w:tcBorders>
              <w:right w:val="single" w:sz="12" w:space="0" w:color="auto"/>
            </w:tcBorders>
            <w:vAlign w:val="center"/>
          </w:tcPr>
          <w:p w:rsidR="004464B0" w:rsidRPr="004E113C" w:rsidRDefault="004464B0" w:rsidP="00316955">
            <w:pPr>
              <w:jc w:val="center"/>
              <w:rPr>
                <w:rFonts w:cs="Arial"/>
                <w:sz w:val="24"/>
              </w:rPr>
            </w:pPr>
            <w:r>
              <w:rPr>
                <w:rFonts w:cs="Arial"/>
              </w:rPr>
              <w:t>26.5</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August</w:t>
            </w:r>
          </w:p>
        </w:tc>
        <w:tc>
          <w:tcPr>
            <w:tcW w:w="1915" w:type="dxa"/>
            <w:vAlign w:val="center"/>
          </w:tcPr>
          <w:p w:rsidR="004464B0" w:rsidRPr="004E113C" w:rsidRDefault="004464B0" w:rsidP="00316955">
            <w:pPr>
              <w:jc w:val="center"/>
              <w:rPr>
                <w:rFonts w:cs="Arial"/>
                <w:sz w:val="24"/>
              </w:rPr>
            </w:pPr>
            <w:r>
              <w:rPr>
                <w:rFonts w:cs="Arial"/>
              </w:rPr>
              <w:t>3,943</w:t>
            </w:r>
          </w:p>
        </w:tc>
        <w:tc>
          <w:tcPr>
            <w:tcW w:w="1915" w:type="dxa"/>
            <w:vAlign w:val="center"/>
          </w:tcPr>
          <w:p w:rsidR="004464B0" w:rsidRPr="004E113C" w:rsidRDefault="004464B0" w:rsidP="00316955">
            <w:pPr>
              <w:jc w:val="center"/>
              <w:rPr>
                <w:rFonts w:cs="Arial"/>
                <w:sz w:val="24"/>
              </w:rPr>
            </w:pPr>
            <w:r>
              <w:rPr>
                <w:rFonts w:cs="Arial"/>
              </w:rPr>
              <w:t>1,002</w:t>
            </w:r>
          </w:p>
        </w:tc>
        <w:tc>
          <w:tcPr>
            <w:tcW w:w="1916" w:type="dxa"/>
            <w:tcBorders>
              <w:right w:val="single" w:sz="12" w:space="0" w:color="auto"/>
            </w:tcBorders>
            <w:vAlign w:val="center"/>
          </w:tcPr>
          <w:p w:rsidR="004464B0" w:rsidRPr="004E113C" w:rsidRDefault="004464B0" w:rsidP="00316955">
            <w:pPr>
              <w:jc w:val="center"/>
              <w:rPr>
                <w:rFonts w:cs="Arial"/>
                <w:sz w:val="24"/>
              </w:rPr>
            </w:pPr>
            <w:r>
              <w:rPr>
                <w:rFonts w:cs="Arial"/>
              </w:rPr>
              <w:t>25.4</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September</w:t>
            </w:r>
          </w:p>
        </w:tc>
        <w:tc>
          <w:tcPr>
            <w:tcW w:w="1915" w:type="dxa"/>
            <w:vAlign w:val="center"/>
          </w:tcPr>
          <w:p w:rsidR="004464B0" w:rsidRPr="004E113C" w:rsidRDefault="004464B0" w:rsidP="00316955">
            <w:pPr>
              <w:jc w:val="center"/>
              <w:rPr>
                <w:rFonts w:cs="Arial"/>
                <w:sz w:val="24"/>
              </w:rPr>
            </w:pPr>
            <w:r>
              <w:rPr>
                <w:rFonts w:cs="Arial"/>
              </w:rPr>
              <w:t>3,831</w:t>
            </w:r>
          </w:p>
        </w:tc>
        <w:tc>
          <w:tcPr>
            <w:tcW w:w="1915" w:type="dxa"/>
            <w:vAlign w:val="center"/>
          </w:tcPr>
          <w:p w:rsidR="004464B0" w:rsidRPr="004E113C" w:rsidRDefault="004464B0" w:rsidP="00316955">
            <w:pPr>
              <w:jc w:val="center"/>
              <w:rPr>
                <w:rFonts w:cs="Arial"/>
                <w:sz w:val="24"/>
              </w:rPr>
            </w:pPr>
            <w:r>
              <w:rPr>
                <w:rFonts w:cs="Arial"/>
              </w:rPr>
              <w:t>891</w:t>
            </w:r>
          </w:p>
        </w:tc>
        <w:tc>
          <w:tcPr>
            <w:tcW w:w="1916" w:type="dxa"/>
            <w:tcBorders>
              <w:right w:val="single" w:sz="12" w:space="0" w:color="auto"/>
            </w:tcBorders>
            <w:vAlign w:val="center"/>
          </w:tcPr>
          <w:p w:rsidR="004464B0" w:rsidRPr="004E113C" w:rsidRDefault="004464B0" w:rsidP="00316955">
            <w:pPr>
              <w:jc w:val="center"/>
              <w:rPr>
                <w:rFonts w:cs="Arial"/>
                <w:sz w:val="24"/>
              </w:rPr>
            </w:pPr>
            <w:r>
              <w:rPr>
                <w:rFonts w:cs="Arial"/>
              </w:rPr>
              <w:t>23.3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October</w:t>
            </w:r>
          </w:p>
        </w:tc>
        <w:tc>
          <w:tcPr>
            <w:tcW w:w="1915" w:type="dxa"/>
            <w:vAlign w:val="center"/>
          </w:tcPr>
          <w:p w:rsidR="004464B0" w:rsidRPr="004E113C" w:rsidRDefault="004464B0" w:rsidP="00316955">
            <w:pPr>
              <w:jc w:val="center"/>
              <w:rPr>
                <w:rFonts w:cs="Arial"/>
                <w:sz w:val="24"/>
              </w:rPr>
            </w:pPr>
            <w:r>
              <w:rPr>
                <w:rFonts w:cs="Arial"/>
              </w:rPr>
              <w:t>4,617</w:t>
            </w:r>
          </w:p>
        </w:tc>
        <w:tc>
          <w:tcPr>
            <w:tcW w:w="1915" w:type="dxa"/>
            <w:vAlign w:val="center"/>
          </w:tcPr>
          <w:p w:rsidR="004464B0" w:rsidRPr="004E113C" w:rsidRDefault="004464B0" w:rsidP="00316955">
            <w:pPr>
              <w:jc w:val="center"/>
              <w:rPr>
                <w:rFonts w:cs="Arial"/>
                <w:sz w:val="24"/>
              </w:rPr>
            </w:pPr>
            <w:r>
              <w:rPr>
                <w:rFonts w:cs="Arial"/>
              </w:rPr>
              <w:t>1,063</w:t>
            </w:r>
          </w:p>
        </w:tc>
        <w:tc>
          <w:tcPr>
            <w:tcW w:w="1916" w:type="dxa"/>
            <w:tcBorders>
              <w:right w:val="single" w:sz="12" w:space="0" w:color="auto"/>
            </w:tcBorders>
            <w:vAlign w:val="center"/>
          </w:tcPr>
          <w:p w:rsidR="004464B0" w:rsidRPr="004E113C" w:rsidRDefault="004464B0" w:rsidP="00316955">
            <w:pPr>
              <w:jc w:val="center"/>
              <w:rPr>
                <w:rFonts w:cs="Arial"/>
                <w:sz w:val="24"/>
              </w:rPr>
            </w:pPr>
            <w:r>
              <w:rPr>
                <w:rFonts w:cs="Arial"/>
              </w:rPr>
              <w:t>23.1</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vAlign w:val="center"/>
          </w:tcPr>
          <w:p w:rsidR="004464B0" w:rsidRDefault="004464B0" w:rsidP="00316955">
            <w:pPr>
              <w:jc w:val="center"/>
              <w:rPr>
                <w:rFonts w:cs="Arial"/>
                <w:color w:val="000000"/>
                <w:szCs w:val="20"/>
              </w:rPr>
            </w:pPr>
            <w:r>
              <w:rPr>
                <w:rFonts w:cs="Arial"/>
                <w:color w:val="000000"/>
                <w:szCs w:val="20"/>
              </w:rPr>
              <w:t>November</w:t>
            </w:r>
          </w:p>
        </w:tc>
        <w:tc>
          <w:tcPr>
            <w:tcW w:w="1915" w:type="dxa"/>
            <w:vAlign w:val="center"/>
          </w:tcPr>
          <w:p w:rsidR="004464B0" w:rsidRPr="004E113C" w:rsidRDefault="004464B0" w:rsidP="00316955">
            <w:pPr>
              <w:jc w:val="center"/>
              <w:rPr>
                <w:rFonts w:cs="Arial"/>
                <w:sz w:val="24"/>
              </w:rPr>
            </w:pPr>
            <w:r>
              <w:rPr>
                <w:rFonts w:cs="Arial"/>
              </w:rPr>
              <w:t>3,478</w:t>
            </w:r>
          </w:p>
        </w:tc>
        <w:tc>
          <w:tcPr>
            <w:tcW w:w="1915" w:type="dxa"/>
            <w:vAlign w:val="center"/>
          </w:tcPr>
          <w:p w:rsidR="004464B0" w:rsidRPr="004E113C" w:rsidRDefault="004464B0" w:rsidP="00316955">
            <w:pPr>
              <w:jc w:val="center"/>
              <w:rPr>
                <w:rFonts w:cs="Arial"/>
                <w:sz w:val="24"/>
              </w:rPr>
            </w:pPr>
            <w:r>
              <w:rPr>
                <w:rFonts w:cs="Arial"/>
              </w:rPr>
              <w:t>721</w:t>
            </w:r>
          </w:p>
        </w:tc>
        <w:tc>
          <w:tcPr>
            <w:tcW w:w="1916" w:type="dxa"/>
            <w:tcBorders>
              <w:right w:val="single" w:sz="12" w:space="0" w:color="auto"/>
            </w:tcBorders>
            <w:vAlign w:val="center"/>
          </w:tcPr>
          <w:p w:rsidR="004464B0" w:rsidRPr="004E113C" w:rsidRDefault="004464B0" w:rsidP="00316955">
            <w:pPr>
              <w:jc w:val="center"/>
              <w:rPr>
                <w:rFonts w:cs="Arial"/>
                <w:sz w:val="24"/>
              </w:rPr>
            </w:pPr>
            <w:r>
              <w:rPr>
                <w:rFonts w:cs="Arial"/>
              </w:rPr>
              <w:t>20.7</w:t>
            </w:r>
          </w:p>
        </w:tc>
      </w:tr>
      <w:tr w:rsidR="004464B0" w:rsidTr="00316955">
        <w:trPr>
          <w:trHeight w:hRule="exact" w:val="317"/>
        </w:trPr>
        <w:tc>
          <w:tcPr>
            <w:tcW w:w="1915" w:type="dxa"/>
            <w:tcBorders>
              <w:left w:val="single" w:sz="12" w:space="0" w:color="auto"/>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2013</w:t>
            </w:r>
          </w:p>
        </w:tc>
        <w:tc>
          <w:tcPr>
            <w:tcW w:w="1915" w:type="dxa"/>
            <w:tcBorders>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December</w:t>
            </w:r>
          </w:p>
        </w:tc>
        <w:tc>
          <w:tcPr>
            <w:tcW w:w="1915" w:type="dxa"/>
            <w:tcBorders>
              <w:bottom w:val="single" w:sz="12" w:space="0" w:color="auto"/>
            </w:tcBorders>
            <w:vAlign w:val="center"/>
          </w:tcPr>
          <w:p w:rsidR="004464B0" w:rsidRPr="004E113C" w:rsidRDefault="004464B0" w:rsidP="00316955">
            <w:pPr>
              <w:jc w:val="center"/>
              <w:rPr>
                <w:rFonts w:cs="Arial"/>
                <w:sz w:val="24"/>
              </w:rPr>
            </w:pPr>
            <w:r>
              <w:rPr>
                <w:rFonts w:cs="Arial"/>
              </w:rPr>
              <w:t>3,400</w:t>
            </w:r>
          </w:p>
        </w:tc>
        <w:tc>
          <w:tcPr>
            <w:tcW w:w="1915" w:type="dxa"/>
            <w:tcBorders>
              <w:bottom w:val="single" w:sz="12" w:space="0" w:color="auto"/>
            </w:tcBorders>
            <w:vAlign w:val="center"/>
          </w:tcPr>
          <w:p w:rsidR="004464B0" w:rsidRPr="004E113C" w:rsidRDefault="00B47D94" w:rsidP="00316955">
            <w:pPr>
              <w:jc w:val="center"/>
              <w:rPr>
                <w:rFonts w:cs="Arial"/>
                <w:sz w:val="24"/>
              </w:rPr>
            </w:pPr>
            <w:r>
              <w:rPr>
                <w:rFonts w:cs="Arial"/>
              </w:rPr>
              <w:t>734</w:t>
            </w:r>
          </w:p>
        </w:tc>
        <w:tc>
          <w:tcPr>
            <w:tcW w:w="1916" w:type="dxa"/>
            <w:tcBorders>
              <w:bottom w:val="single" w:sz="12" w:space="0" w:color="auto"/>
              <w:right w:val="single" w:sz="12" w:space="0" w:color="auto"/>
            </w:tcBorders>
            <w:vAlign w:val="center"/>
          </w:tcPr>
          <w:p w:rsidR="004464B0" w:rsidRPr="004E113C" w:rsidRDefault="004464B0" w:rsidP="00316955">
            <w:pPr>
              <w:jc w:val="center"/>
              <w:rPr>
                <w:rFonts w:cs="Arial"/>
                <w:sz w:val="24"/>
              </w:rPr>
            </w:pPr>
            <w:r>
              <w:rPr>
                <w:rFonts w:cs="Arial"/>
              </w:rPr>
              <w:t>21.5</w:t>
            </w:r>
          </w:p>
        </w:tc>
      </w:tr>
      <w:tr w:rsidR="004464B0" w:rsidTr="00316955">
        <w:trPr>
          <w:trHeight w:hRule="exact" w:val="317"/>
        </w:trPr>
        <w:tc>
          <w:tcPr>
            <w:tcW w:w="1915" w:type="dxa"/>
            <w:tcBorders>
              <w:left w:val="single" w:sz="12" w:space="0" w:color="auto"/>
              <w:bottom w:val="single" w:sz="12" w:space="0" w:color="auto"/>
            </w:tcBorders>
            <w:vAlign w:val="center"/>
          </w:tcPr>
          <w:p w:rsidR="004464B0" w:rsidRPr="00FD4159" w:rsidRDefault="004464B0" w:rsidP="00316955">
            <w:pPr>
              <w:jc w:val="center"/>
              <w:rPr>
                <w:rFonts w:cs="Arial"/>
                <w:b/>
                <w:color w:val="000000"/>
                <w:szCs w:val="20"/>
              </w:rPr>
            </w:pPr>
            <w:r w:rsidRPr="00FD4159">
              <w:rPr>
                <w:rFonts w:cs="Arial"/>
                <w:b/>
                <w:color w:val="000000"/>
                <w:szCs w:val="20"/>
              </w:rPr>
              <w:t xml:space="preserve">2013 </w:t>
            </w:r>
          </w:p>
        </w:tc>
        <w:tc>
          <w:tcPr>
            <w:tcW w:w="1915" w:type="dxa"/>
            <w:tcBorders>
              <w:bottom w:val="single" w:sz="12" w:space="0" w:color="auto"/>
            </w:tcBorders>
            <w:vAlign w:val="center"/>
          </w:tcPr>
          <w:p w:rsidR="004464B0" w:rsidRPr="00FD4159" w:rsidRDefault="004464B0" w:rsidP="00316955">
            <w:pPr>
              <w:jc w:val="center"/>
              <w:rPr>
                <w:rFonts w:cs="Arial"/>
                <w:b/>
                <w:color w:val="000000"/>
                <w:szCs w:val="20"/>
              </w:rPr>
            </w:pPr>
          </w:p>
        </w:tc>
        <w:tc>
          <w:tcPr>
            <w:tcW w:w="1915" w:type="dxa"/>
            <w:tcBorders>
              <w:bottom w:val="single" w:sz="12" w:space="0" w:color="auto"/>
            </w:tcBorders>
            <w:vAlign w:val="center"/>
          </w:tcPr>
          <w:p w:rsidR="004464B0" w:rsidRPr="00FD4159" w:rsidRDefault="004A707B" w:rsidP="00316955">
            <w:pPr>
              <w:jc w:val="center"/>
              <w:rPr>
                <w:rFonts w:cs="Arial"/>
                <w:b/>
              </w:rPr>
            </w:pPr>
            <w:r w:rsidRPr="00FD4159">
              <w:rPr>
                <w:rFonts w:cs="Arial"/>
                <w:b/>
              </w:rPr>
              <w:t xml:space="preserve">Total: </w:t>
            </w:r>
            <w:r w:rsidR="004464B0" w:rsidRPr="00FD4159">
              <w:rPr>
                <w:rFonts w:cs="Arial"/>
                <w:b/>
              </w:rPr>
              <w:t>49,280</w:t>
            </w:r>
          </w:p>
        </w:tc>
        <w:tc>
          <w:tcPr>
            <w:tcW w:w="1915" w:type="dxa"/>
            <w:tcBorders>
              <w:bottom w:val="single" w:sz="12" w:space="0" w:color="auto"/>
            </w:tcBorders>
            <w:vAlign w:val="center"/>
          </w:tcPr>
          <w:p w:rsidR="004464B0" w:rsidRPr="00FD4159" w:rsidRDefault="004A707B" w:rsidP="00316955">
            <w:pPr>
              <w:jc w:val="center"/>
              <w:rPr>
                <w:rFonts w:cs="Arial"/>
                <w:b/>
              </w:rPr>
            </w:pPr>
            <w:r w:rsidRPr="00FD4159">
              <w:rPr>
                <w:rFonts w:cs="Arial"/>
                <w:b/>
              </w:rPr>
              <w:t xml:space="preserve">Total: </w:t>
            </w:r>
            <w:r w:rsidR="00B47D94">
              <w:rPr>
                <w:rFonts w:cs="Arial"/>
                <w:b/>
              </w:rPr>
              <w:t>12,927</w:t>
            </w:r>
          </w:p>
        </w:tc>
        <w:tc>
          <w:tcPr>
            <w:tcW w:w="1916" w:type="dxa"/>
            <w:tcBorders>
              <w:bottom w:val="single" w:sz="12" w:space="0" w:color="auto"/>
              <w:right w:val="single" w:sz="12" w:space="0" w:color="auto"/>
            </w:tcBorders>
            <w:vAlign w:val="center"/>
          </w:tcPr>
          <w:p w:rsidR="004464B0" w:rsidRPr="00FD4159" w:rsidRDefault="004464B0" w:rsidP="00316955">
            <w:pPr>
              <w:jc w:val="center"/>
              <w:rPr>
                <w:rFonts w:cs="Arial"/>
                <w:b/>
              </w:rPr>
            </w:pPr>
            <w:r w:rsidRPr="00FD4159">
              <w:rPr>
                <w:rFonts w:cs="Arial"/>
                <w:b/>
              </w:rPr>
              <w:t>Average: 25.9</w:t>
            </w:r>
          </w:p>
        </w:tc>
      </w:tr>
      <w:tr w:rsidR="004464B0" w:rsidTr="00316955">
        <w:trPr>
          <w:trHeight w:hRule="exact" w:val="317"/>
        </w:trPr>
        <w:tc>
          <w:tcPr>
            <w:tcW w:w="1915" w:type="dxa"/>
            <w:tcBorders>
              <w:top w:val="single" w:sz="12" w:space="0" w:color="auto"/>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tcBorders>
              <w:top w:val="single" w:sz="12" w:space="0" w:color="auto"/>
            </w:tcBorders>
            <w:vAlign w:val="center"/>
          </w:tcPr>
          <w:p w:rsidR="004464B0" w:rsidRDefault="004464B0" w:rsidP="00316955">
            <w:pPr>
              <w:jc w:val="center"/>
              <w:rPr>
                <w:rFonts w:cs="Arial"/>
                <w:color w:val="000000"/>
                <w:szCs w:val="20"/>
              </w:rPr>
            </w:pPr>
            <w:r>
              <w:rPr>
                <w:rFonts w:cs="Arial"/>
                <w:color w:val="000000"/>
                <w:szCs w:val="20"/>
              </w:rPr>
              <w:t>January</w:t>
            </w:r>
          </w:p>
        </w:tc>
        <w:tc>
          <w:tcPr>
            <w:tcW w:w="1915" w:type="dxa"/>
            <w:tcBorders>
              <w:top w:val="single" w:sz="12" w:space="0" w:color="auto"/>
            </w:tcBorders>
            <w:vAlign w:val="center"/>
          </w:tcPr>
          <w:p w:rsidR="004464B0" w:rsidRPr="006036C6" w:rsidRDefault="004464B0" w:rsidP="00316955">
            <w:pPr>
              <w:jc w:val="center"/>
              <w:rPr>
                <w:rFonts w:cs="Arial"/>
                <w:szCs w:val="20"/>
              </w:rPr>
            </w:pPr>
            <w:r>
              <w:rPr>
                <w:rFonts w:cs="Arial"/>
                <w:szCs w:val="20"/>
              </w:rPr>
              <w:t>4,438</w:t>
            </w:r>
          </w:p>
        </w:tc>
        <w:tc>
          <w:tcPr>
            <w:tcW w:w="1915" w:type="dxa"/>
            <w:tcBorders>
              <w:top w:val="single" w:sz="12" w:space="0" w:color="auto"/>
            </w:tcBorders>
            <w:vAlign w:val="center"/>
          </w:tcPr>
          <w:p w:rsidR="004464B0" w:rsidRPr="006036C6" w:rsidRDefault="004464B0" w:rsidP="00316955">
            <w:pPr>
              <w:jc w:val="center"/>
              <w:rPr>
                <w:rFonts w:cs="Arial"/>
                <w:szCs w:val="20"/>
              </w:rPr>
            </w:pPr>
            <w:r>
              <w:rPr>
                <w:rFonts w:cs="Arial"/>
                <w:szCs w:val="20"/>
              </w:rPr>
              <w:t>980</w:t>
            </w:r>
          </w:p>
        </w:tc>
        <w:tc>
          <w:tcPr>
            <w:tcW w:w="1916" w:type="dxa"/>
            <w:tcBorders>
              <w:top w:val="single" w:sz="12" w:space="0" w:color="auto"/>
              <w:right w:val="single" w:sz="12" w:space="0" w:color="auto"/>
            </w:tcBorders>
            <w:vAlign w:val="center"/>
          </w:tcPr>
          <w:p w:rsidR="004464B0" w:rsidRPr="006036C6" w:rsidRDefault="004464B0" w:rsidP="00316955">
            <w:pPr>
              <w:jc w:val="center"/>
              <w:rPr>
                <w:rFonts w:cs="Arial"/>
                <w:szCs w:val="20"/>
              </w:rPr>
            </w:pPr>
            <w:r>
              <w:rPr>
                <w:rFonts w:cs="Arial"/>
                <w:szCs w:val="20"/>
              </w:rPr>
              <w:t>22.2</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February</w:t>
            </w:r>
          </w:p>
        </w:tc>
        <w:tc>
          <w:tcPr>
            <w:tcW w:w="1915" w:type="dxa"/>
            <w:vAlign w:val="center"/>
          </w:tcPr>
          <w:p w:rsidR="004464B0" w:rsidRPr="006036C6" w:rsidRDefault="004464B0" w:rsidP="00316955">
            <w:pPr>
              <w:jc w:val="center"/>
              <w:rPr>
                <w:rFonts w:cs="Arial"/>
                <w:szCs w:val="20"/>
              </w:rPr>
            </w:pPr>
            <w:r>
              <w:rPr>
                <w:rFonts w:cs="Arial"/>
                <w:szCs w:val="20"/>
              </w:rPr>
              <w:t>3,418</w:t>
            </w:r>
          </w:p>
        </w:tc>
        <w:tc>
          <w:tcPr>
            <w:tcW w:w="1915" w:type="dxa"/>
            <w:vAlign w:val="center"/>
          </w:tcPr>
          <w:p w:rsidR="004464B0" w:rsidRPr="006036C6" w:rsidRDefault="004464B0" w:rsidP="00316955">
            <w:pPr>
              <w:jc w:val="center"/>
              <w:rPr>
                <w:rFonts w:cs="Arial"/>
                <w:szCs w:val="20"/>
              </w:rPr>
            </w:pPr>
            <w:r>
              <w:rPr>
                <w:rFonts w:cs="Arial"/>
                <w:szCs w:val="20"/>
              </w:rPr>
              <w:t>875</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25.6</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March</w:t>
            </w:r>
          </w:p>
        </w:tc>
        <w:tc>
          <w:tcPr>
            <w:tcW w:w="1915" w:type="dxa"/>
            <w:vAlign w:val="center"/>
          </w:tcPr>
          <w:p w:rsidR="004464B0" w:rsidRPr="006036C6" w:rsidRDefault="004464B0" w:rsidP="00316955">
            <w:pPr>
              <w:jc w:val="center"/>
              <w:rPr>
                <w:rFonts w:cs="Arial"/>
                <w:szCs w:val="20"/>
              </w:rPr>
            </w:pPr>
            <w:r>
              <w:rPr>
                <w:rFonts w:cs="Arial"/>
                <w:szCs w:val="20"/>
              </w:rPr>
              <w:t>3,891</w:t>
            </w:r>
          </w:p>
        </w:tc>
        <w:tc>
          <w:tcPr>
            <w:tcW w:w="1915" w:type="dxa"/>
            <w:vAlign w:val="center"/>
          </w:tcPr>
          <w:p w:rsidR="004464B0" w:rsidRPr="006036C6" w:rsidRDefault="004464B0" w:rsidP="00316955">
            <w:pPr>
              <w:jc w:val="center"/>
              <w:rPr>
                <w:rFonts w:cs="Arial"/>
                <w:szCs w:val="20"/>
              </w:rPr>
            </w:pPr>
            <w:r>
              <w:rPr>
                <w:rFonts w:cs="Arial"/>
                <w:szCs w:val="20"/>
              </w:rPr>
              <w:t>1,028</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28.0</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April</w:t>
            </w:r>
          </w:p>
        </w:tc>
        <w:tc>
          <w:tcPr>
            <w:tcW w:w="1915" w:type="dxa"/>
            <w:vAlign w:val="center"/>
          </w:tcPr>
          <w:p w:rsidR="004464B0" w:rsidRPr="006036C6" w:rsidRDefault="004464B0" w:rsidP="00316955">
            <w:pPr>
              <w:jc w:val="center"/>
              <w:rPr>
                <w:rFonts w:cs="Arial"/>
                <w:szCs w:val="20"/>
              </w:rPr>
            </w:pPr>
            <w:r>
              <w:rPr>
                <w:rFonts w:cs="Arial"/>
                <w:szCs w:val="20"/>
              </w:rPr>
              <w:t>4,310</w:t>
            </w:r>
          </w:p>
        </w:tc>
        <w:tc>
          <w:tcPr>
            <w:tcW w:w="1915" w:type="dxa"/>
            <w:vAlign w:val="center"/>
          </w:tcPr>
          <w:p w:rsidR="004464B0" w:rsidRPr="006036C6" w:rsidRDefault="004464B0" w:rsidP="00316955">
            <w:pPr>
              <w:jc w:val="center"/>
              <w:rPr>
                <w:rFonts w:cs="Arial"/>
                <w:szCs w:val="20"/>
              </w:rPr>
            </w:pPr>
            <w:r>
              <w:rPr>
                <w:rFonts w:cs="Arial"/>
                <w:szCs w:val="20"/>
              </w:rPr>
              <w:t>1,369</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31.7</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May</w:t>
            </w:r>
          </w:p>
        </w:tc>
        <w:tc>
          <w:tcPr>
            <w:tcW w:w="1915" w:type="dxa"/>
            <w:vAlign w:val="center"/>
          </w:tcPr>
          <w:p w:rsidR="004464B0" w:rsidRPr="006036C6" w:rsidRDefault="004464B0" w:rsidP="00316955">
            <w:pPr>
              <w:jc w:val="center"/>
              <w:rPr>
                <w:rFonts w:cs="Arial"/>
                <w:szCs w:val="20"/>
              </w:rPr>
            </w:pPr>
            <w:r>
              <w:rPr>
                <w:rFonts w:cs="Arial"/>
                <w:szCs w:val="20"/>
              </w:rPr>
              <w:t>4,464</w:t>
            </w:r>
          </w:p>
        </w:tc>
        <w:tc>
          <w:tcPr>
            <w:tcW w:w="1915" w:type="dxa"/>
            <w:vAlign w:val="center"/>
          </w:tcPr>
          <w:p w:rsidR="004464B0" w:rsidRPr="006036C6" w:rsidRDefault="004464B0" w:rsidP="00316955">
            <w:pPr>
              <w:jc w:val="center"/>
              <w:rPr>
                <w:rFonts w:cs="Arial"/>
                <w:szCs w:val="20"/>
              </w:rPr>
            </w:pPr>
            <w:r>
              <w:rPr>
                <w:rFonts w:cs="Arial"/>
                <w:szCs w:val="20"/>
              </w:rPr>
              <w:t>1,435</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32.3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June</w:t>
            </w:r>
          </w:p>
        </w:tc>
        <w:tc>
          <w:tcPr>
            <w:tcW w:w="1915" w:type="dxa"/>
            <w:vAlign w:val="center"/>
          </w:tcPr>
          <w:p w:rsidR="004464B0" w:rsidRPr="006036C6" w:rsidRDefault="004464B0" w:rsidP="00316955">
            <w:pPr>
              <w:jc w:val="center"/>
              <w:rPr>
                <w:rFonts w:cs="Arial"/>
                <w:szCs w:val="20"/>
              </w:rPr>
            </w:pPr>
            <w:r>
              <w:rPr>
                <w:rFonts w:cs="Arial"/>
                <w:szCs w:val="20"/>
              </w:rPr>
              <w:t>4,895</w:t>
            </w:r>
          </w:p>
        </w:tc>
        <w:tc>
          <w:tcPr>
            <w:tcW w:w="1915" w:type="dxa"/>
            <w:vAlign w:val="center"/>
          </w:tcPr>
          <w:p w:rsidR="004464B0" w:rsidRPr="006036C6" w:rsidRDefault="004464B0" w:rsidP="00316955">
            <w:pPr>
              <w:jc w:val="center"/>
              <w:rPr>
                <w:rFonts w:cs="Arial"/>
                <w:szCs w:val="20"/>
              </w:rPr>
            </w:pPr>
            <w:r>
              <w:rPr>
                <w:rFonts w:cs="Arial"/>
                <w:szCs w:val="20"/>
              </w:rPr>
              <w:t>1,488</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30.5</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July</w:t>
            </w:r>
          </w:p>
        </w:tc>
        <w:tc>
          <w:tcPr>
            <w:tcW w:w="1915" w:type="dxa"/>
            <w:vAlign w:val="center"/>
          </w:tcPr>
          <w:p w:rsidR="004464B0" w:rsidRPr="006036C6" w:rsidRDefault="004464B0" w:rsidP="00316955">
            <w:pPr>
              <w:jc w:val="center"/>
              <w:rPr>
                <w:rFonts w:cs="Arial"/>
                <w:szCs w:val="20"/>
              </w:rPr>
            </w:pPr>
            <w:r>
              <w:rPr>
                <w:rFonts w:cs="Arial"/>
                <w:szCs w:val="20"/>
              </w:rPr>
              <w:t>4,414</w:t>
            </w:r>
          </w:p>
        </w:tc>
        <w:tc>
          <w:tcPr>
            <w:tcW w:w="1915" w:type="dxa"/>
            <w:vAlign w:val="center"/>
          </w:tcPr>
          <w:p w:rsidR="004464B0" w:rsidRPr="006036C6" w:rsidRDefault="004464B0" w:rsidP="00316955">
            <w:pPr>
              <w:jc w:val="center"/>
              <w:rPr>
                <w:rFonts w:cs="Arial"/>
                <w:szCs w:val="20"/>
              </w:rPr>
            </w:pPr>
            <w:r>
              <w:rPr>
                <w:rFonts w:cs="Arial"/>
                <w:szCs w:val="20"/>
              </w:rPr>
              <w:t>1,444</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32.9</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August</w:t>
            </w:r>
          </w:p>
        </w:tc>
        <w:tc>
          <w:tcPr>
            <w:tcW w:w="1915" w:type="dxa"/>
            <w:vAlign w:val="center"/>
          </w:tcPr>
          <w:p w:rsidR="004464B0" w:rsidRPr="006036C6" w:rsidRDefault="004464B0" w:rsidP="00316955">
            <w:pPr>
              <w:jc w:val="center"/>
              <w:rPr>
                <w:rFonts w:cs="Arial"/>
                <w:szCs w:val="20"/>
              </w:rPr>
            </w:pPr>
            <w:r>
              <w:rPr>
                <w:rFonts w:cs="Arial"/>
                <w:szCs w:val="20"/>
              </w:rPr>
              <w:t>4,378</w:t>
            </w:r>
          </w:p>
        </w:tc>
        <w:tc>
          <w:tcPr>
            <w:tcW w:w="1915" w:type="dxa"/>
            <w:vAlign w:val="center"/>
          </w:tcPr>
          <w:p w:rsidR="004464B0" w:rsidRPr="006036C6" w:rsidRDefault="004464B0" w:rsidP="00316955">
            <w:pPr>
              <w:jc w:val="center"/>
              <w:rPr>
                <w:rFonts w:cs="Arial"/>
                <w:szCs w:val="20"/>
              </w:rPr>
            </w:pPr>
            <w:r>
              <w:rPr>
                <w:rFonts w:cs="Arial"/>
                <w:szCs w:val="20"/>
              </w:rPr>
              <w:t>1,255</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28.7</w:t>
            </w:r>
          </w:p>
        </w:tc>
      </w:tr>
      <w:tr w:rsidR="004464B0" w:rsidTr="00FC226A">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September</w:t>
            </w:r>
          </w:p>
        </w:tc>
        <w:tc>
          <w:tcPr>
            <w:tcW w:w="1915" w:type="dxa"/>
            <w:vAlign w:val="center"/>
          </w:tcPr>
          <w:p w:rsidR="004464B0" w:rsidRPr="006036C6" w:rsidRDefault="004464B0" w:rsidP="00316955">
            <w:pPr>
              <w:jc w:val="center"/>
              <w:rPr>
                <w:rFonts w:cs="Arial"/>
                <w:szCs w:val="20"/>
              </w:rPr>
            </w:pPr>
            <w:r>
              <w:rPr>
                <w:rFonts w:cs="Arial"/>
                <w:szCs w:val="20"/>
              </w:rPr>
              <w:t>4,</w:t>
            </w:r>
            <w:r w:rsidR="0004067E">
              <w:rPr>
                <w:rFonts w:cs="Arial"/>
                <w:szCs w:val="20"/>
              </w:rPr>
              <w:t>321</w:t>
            </w:r>
          </w:p>
        </w:tc>
        <w:tc>
          <w:tcPr>
            <w:tcW w:w="1915" w:type="dxa"/>
            <w:shd w:val="clear" w:color="auto" w:fill="auto"/>
            <w:vAlign w:val="center"/>
          </w:tcPr>
          <w:p w:rsidR="004464B0" w:rsidRPr="006036C6" w:rsidRDefault="003A734C" w:rsidP="00316955">
            <w:pPr>
              <w:jc w:val="center"/>
              <w:rPr>
                <w:rFonts w:cs="Arial"/>
                <w:szCs w:val="20"/>
              </w:rPr>
            </w:pPr>
            <w:r w:rsidRPr="00FC226A">
              <w:rPr>
                <w:rFonts w:cs="Arial"/>
                <w:szCs w:val="20"/>
              </w:rPr>
              <w:t>1,242</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28.9</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October</w:t>
            </w:r>
          </w:p>
        </w:tc>
        <w:tc>
          <w:tcPr>
            <w:tcW w:w="1915" w:type="dxa"/>
            <w:vAlign w:val="center"/>
          </w:tcPr>
          <w:p w:rsidR="004464B0" w:rsidRPr="006036C6" w:rsidRDefault="004464B0" w:rsidP="00316955">
            <w:pPr>
              <w:jc w:val="center"/>
              <w:rPr>
                <w:rFonts w:cs="Arial"/>
                <w:szCs w:val="20"/>
              </w:rPr>
            </w:pPr>
            <w:r>
              <w:rPr>
                <w:rFonts w:cs="Arial"/>
                <w:szCs w:val="20"/>
              </w:rPr>
              <w:t>3,920</w:t>
            </w:r>
          </w:p>
        </w:tc>
        <w:tc>
          <w:tcPr>
            <w:tcW w:w="1915" w:type="dxa"/>
            <w:vAlign w:val="center"/>
          </w:tcPr>
          <w:p w:rsidR="004464B0" w:rsidRPr="006036C6" w:rsidRDefault="004464B0" w:rsidP="00316955">
            <w:pPr>
              <w:jc w:val="center"/>
              <w:rPr>
                <w:rFonts w:cs="Arial"/>
                <w:szCs w:val="20"/>
              </w:rPr>
            </w:pPr>
            <w:r>
              <w:rPr>
                <w:rFonts w:cs="Arial"/>
                <w:szCs w:val="20"/>
              </w:rPr>
              <w:t>993</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25.2</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vAlign w:val="center"/>
          </w:tcPr>
          <w:p w:rsidR="004464B0" w:rsidRDefault="004464B0" w:rsidP="00316955">
            <w:pPr>
              <w:jc w:val="center"/>
              <w:rPr>
                <w:rFonts w:cs="Arial"/>
                <w:color w:val="000000"/>
                <w:szCs w:val="20"/>
              </w:rPr>
            </w:pPr>
            <w:r>
              <w:rPr>
                <w:rFonts w:cs="Arial"/>
                <w:color w:val="000000"/>
                <w:szCs w:val="20"/>
              </w:rPr>
              <w:t>November</w:t>
            </w:r>
          </w:p>
        </w:tc>
        <w:tc>
          <w:tcPr>
            <w:tcW w:w="1915" w:type="dxa"/>
            <w:vAlign w:val="center"/>
          </w:tcPr>
          <w:p w:rsidR="004464B0" w:rsidRPr="006036C6" w:rsidRDefault="004464B0" w:rsidP="00316955">
            <w:pPr>
              <w:jc w:val="center"/>
              <w:rPr>
                <w:rFonts w:cs="Arial"/>
                <w:szCs w:val="20"/>
              </w:rPr>
            </w:pPr>
            <w:r>
              <w:rPr>
                <w:rFonts w:cs="Arial"/>
                <w:szCs w:val="20"/>
              </w:rPr>
              <w:t>2,812</w:t>
            </w:r>
          </w:p>
        </w:tc>
        <w:tc>
          <w:tcPr>
            <w:tcW w:w="1915" w:type="dxa"/>
            <w:vAlign w:val="center"/>
          </w:tcPr>
          <w:p w:rsidR="004464B0" w:rsidRPr="006036C6" w:rsidRDefault="004464B0" w:rsidP="00316955">
            <w:pPr>
              <w:jc w:val="center"/>
              <w:rPr>
                <w:rFonts w:cs="Arial"/>
                <w:szCs w:val="20"/>
              </w:rPr>
            </w:pPr>
            <w:r>
              <w:rPr>
                <w:rFonts w:cs="Arial"/>
                <w:szCs w:val="20"/>
              </w:rPr>
              <w:t>671</w:t>
            </w:r>
          </w:p>
        </w:tc>
        <w:tc>
          <w:tcPr>
            <w:tcW w:w="1916" w:type="dxa"/>
            <w:tcBorders>
              <w:right w:val="single" w:sz="12" w:space="0" w:color="auto"/>
            </w:tcBorders>
            <w:vAlign w:val="center"/>
          </w:tcPr>
          <w:p w:rsidR="004464B0" w:rsidRPr="006036C6" w:rsidRDefault="004464B0" w:rsidP="00316955">
            <w:pPr>
              <w:jc w:val="center"/>
              <w:rPr>
                <w:rFonts w:cs="Arial"/>
                <w:szCs w:val="20"/>
              </w:rPr>
            </w:pPr>
            <w:r>
              <w:rPr>
                <w:rFonts w:cs="Arial"/>
                <w:szCs w:val="20"/>
              </w:rPr>
              <w:t>23.9</w:t>
            </w:r>
          </w:p>
        </w:tc>
      </w:tr>
      <w:tr w:rsidR="004464B0" w:rsidTr="00316955">
        <w:trPr>
          <w:trHeight w:hRule="exact" w:val="317"/>
        </w:trPr>
        <w:tc>
          <w:tcPr>
            <w:tcW w:w="1915" w:type="dxa"/>
            <w:tcBorders>
              <w:left w:val="single" w:sz="12" w:space="0" w:color="auto"/>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2014</w:t>
            </w:r>
          </w:p>
        </w:tc>
        <w:tc>
          <w:tcPr>
            <w:tcW w:w="1915" w:type="dxa"/>
            <w:tcBorders>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December</w:t>
            </w:r>
          </w:p>
        </w:tc>
        <w:tc>
          <w:tcPr>
            <w:tcW w:w="1915" w:type="dxa"/>
            <w:tcBorders>
              <w:bottom w:val="single" w:sz="12" w:space="0" w:color="auto"/>
            </w:tcBorders>
            <w:vAlign w:val="center"/>
          </w:tcPr>
          <w:p w:rsidR="004464B0" w:rsidRPr="006036C6" w:rsidRDefault="004464B0" w:rsidP="00316955">
            <w:pPr>
              <w:jc w:val="center"/>
              <w:rPr>
                <w:rFonts w:cs="Arial"/>
                <w:szCs w:val="20"/>
              </w:rPr>
            </w:pPr>
            <w:r>
              <w:rPr>
                <w:rFonts w:cs="Arial"/>
                <w:szCs w:val="20"/>
              </w:rPr>
              <w:t>3,902</w:t>
            </w:r>
          </w:p>
        </w:tc>
        <w:tc>
          <w:tcPr>
            <w:tcW w:w="1915" w:type="dxa"/>
            <w:tcBorders>
              <w:bottom w:val="single" w:sz="12" w:space="0" w:color="auto"/>
            </w:tcBorders>
            <w:vAlign w:val="center"/>
          </w:tcPr>
          <w:p w:rsidR="004464B0" w:rsidRPr="006036C6" w:rsidRDefault="004464B0" w:rsidP="00316955">
            <w:pPr>
              <w:jc w:val="center"/>
              <w:rPr>
                <w:rFonts w:cs="Arial"/>
                <w:szCs w:val="20"/>
              </w:rPr>
            </w:pPr>
            <w:r>
              <w:rPr>
                <w:rFonts w:cs="Arial"/>
                <w:szCs w:val="20"/>
              </w:rPr>
              <w:t>907</w:t>
            </w:r>
          </w:p>
        </w:tc>
        <w:tc>
          <w:tcPr>
            <w:tcW w:w="1916" w:type="dxa"/>
            <w:tcBorders>
              <w:bottom w:val="single" w:sz="12" w:space="0" w:color="auto"/>
              <w:right w:val="single" w:sz="12" w:space="0" w:color="auto"/>
            </w:tcBorders>
            <w:vAlign w:val="center"/>
          </w:tcPr>
          <w:p w:rsidR="004464B0" w:rsidRPr="006036C6" w:rsidRDefault="004464B0" w:rsidP="00316955">
            <w:pPr>
              <w:jc w:val="center"/>
              <w:rPr>
                <w:rFonts w:cs="Arial"/>
                <w:szCs w:val="20"/>
              </w:rPr>
            </w:pPr>
            <w:r>
              <w:rPr>
                <w:rFonts w:cs="Arial"/>
                <w:szCs w:val="20"/>
              </w:rPr>
              <w:t>23.3</w:t>
            </w:r>
          </w:p>
        </w:tc>
      </w:tr>
      <w:tr w:rsidR="004464B0" w:rsidTr="00316955">
        <w:trPr>
          <w:trHeight w:hRule="exact" w:val="317"/>
        </w:trPr>
        <w:tc>
          <w:tcPr>
            <w:tcW w:w="1915" w:type="dxa"/>
            <w:tcBorders>
              <w:left w:val="single" w:sz="12" w:space="0" w:color="auto"/>
              <w:bottom w:val="single" w:sz="12" w:space="0" w:color="auto"/>
            </w:tcBorders>
            <w:vAlign w:val="center"/>
          </w:tcPr>
          <w:p w:rsidR="004464B0" w:rsidRPr="00FD4159" w:rsidRDefault="004464B0" w:rsidP="00316955">
            <w:pPr>
              <w:jc w:val="center"/>
              <w:rPr>
                <w:rFonts w:cs="Arial"/>
                <w:b/>
                <w:color w:val="000000"/>
                <w:szCs w:val="20"/>
              </w:rPr>
            </w:pPr>
            <w:r w:rsidRPr="00FD4159">
              <w:rPr>
                <w:rFonts w:cs="Arial"/>
                <w:b/>
                <w:color w:val="000000"/>
                <w:szCs w:val="20"/>
              </w:rPr>
              <w:t>2014</w:t>
            </w:r>
          </w:p>
        </w:tc>
        <w:tc>
          <w:tcPr>
            <w:tcW w:w="1915" w:type="dxa"/>
            <w:tcBorders>
              <w:bottom w:val="single" w:sz="12" w:space="0" w:color="auto"/>
            </w:tcBorders>
            <w:vAlign w:val="center"/>
          </w:tcPr>
          <w:p w:rsidR="004464B0" w:rsidRPr="00FD4159" w:rsidRDefault="004464B0" w:rsidP="00316955">
            <w:pPr>
              <w:jc w:val="center"/>
              <w:rPr>
                <w:rFonts w:cs="Arial"/>
                <w:b/>
                <w:color w:val="000000"/>
                <w:szCs w:val="20"/>
              </w:rPr>
            </w:pPr>
          </w:p>
        </w:tc>
        <w:tc>
          <w:tcPr>
            <w:tcW w:w="1915" w:type="dxa"/>
            <w:tcBorders>
              <w:bottom w:val="single" w:sz="12" w:space="0" w:color="auto"/>
            </w:tcBorders>
            <w:vAlign w:val="center"/>
          </w:tcPr>
          <w:p w:rsidR="004464B0" w:rsidRPr="00FD4159" w:rsidRDefault="004A707B" w:rsidP="00316955">
            <w:pPr>
              <w:jc w:val="center"/>
              <w:rPr>
                <w:rFonts w:cs="Arial"/>
                <w:b/>
                <w:color w:val="000000"/>
                <w:szCs w:val="20"/>
              </w:rPr>
            </w:pPr>
            <w:r w:rsidRPr="00FD4159">
              <w:rPr>
                <w:rFonts w:cs="Arial"/>
                <w:b/>
                <w:color w:val="000000"/>
                <w:szCs w:val="20"/>
              </w:rPr>
              <w:t xml:space="preserve">Total : </w:t>
            </w:r>
            <w:r w:rsidR="0004067E">
              <w:rPr>
                <w:rFonts w:cs="Arial"/>
                <w:b/>
                <w:color w:val="000000"/>
                <w:szCs w:val="20"/>
              </w:rPr>
              <w:t>49,163</w:t>
            </w:r>
          </w:p>
        </w:tc>
        <w:tc>
          <w:tcPr>
            <w:tcW w:w="1915" w:type="dxa"/>
            <w:tcBorders>
              <w:bottom w:val="single" w:sz="12" w:space="0" w:color="auto"/>
            </w:tcBorders>
            <w:vAlign w:val="center"/>
          </w:tcPr>
          <w:p w:rsidR="004464B0" w:rsidRPr="00FD4159" w:rsidRDefault="004A707B" w:rsidP="00316955">
            <w:pPr>
              <w:jc w:val="center"/>
              <w:rPr>
                <w:rFonts w:cs="Arial"/>
                <w:b/>
                <w:color w:val="000000"/>
                <w:szCs w:val="20"/>
              </w:rPr>
            </w:pPr>
            <w:r w:rsidRPr="00FD4159">
              <w:rPr>
                <w:rFonts w:cs="Arial"/>
                <w:b/>
                <w:color w:val="000000"/>
                <w:szCs w:val="20"/>
              </w:rPr>
              <w:t xml:space="preserve">Total : </w:t>
            </w:r>
            <w:r w:rsidR="00FC226A">
              <w:rPr>
                <w:rFonts w:cs="Arial"/>
                <w:b/>
                <w:color w:val="000000"/>
                <w:szCs w:val="20"/>
              </w:rPr>
              <w:t>13,687</w:t>
            </w:r>
          </w:p>
        </w:tc>
        <w:tc>
          <w:tcPr>
            <w:tcW w:w="1916" w:type="dxa"/>
            <w:tcBorders>
              <w:bottom w:val="single" w:sz="12" w:space="0" w:color="auto"/>
              <w:right w:val="single" w:sz="12" w:space="0" w:color="auto"/>
            </w:tcBorders>
            <w:vAlign w:val="center"/>
          </w:tcPr>
          <w:p w:rsidR="004464B0" w:rsidRPr="00FD4159" w:rsidRDefault="004464B0" w:rsidP="00316955">
            <w:pPr>
              <w:jc w:val="center"/>
              <w:rPr>
                <w:rFonts w:cs="Arial"/>
                <w:b/>
                <w:color w:val="000000"/>
                <w:szCs w:val="20"/>
              </w:rPr>
            </w:pPr>
            <w:r w:rsidRPr="00FD4159">
              <w:rPr>
                <w:rFonts w:cs="Arial"/>
                <w:b/>
                <w:color w:val="000000"/>
                <w:szCs w:val="20"/>
              </w:rPr>
              <w:t>Average: 27.8</w:t>
            </w:r>
          </w:p>
        </w:tc>
      </w:tr>
      <w:tr w:rsidR="004464B0" w:rsidTr="00316955">
        <w:trPr>
          <w:trHeight w:hRule="exact" w:val="317"/>
        </w:trPr>
        <w:tc>
          <w:tcPr>
            <w:tcW w:w="1915" w:type="dxa"/>
            <w:tcBorders>
              <w:top w:val="single" w:sz="12" w:space="0" w:color="auto"/>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tcBorders>
              <w:top w:val="single" w:sz="12" w:space="0" w:color="auto"/>
            </w:tcBorders>
            <w:vAlign w:val="center"/>
          </w:tcPr>
          <w:p w:rsidR="004464B0" w:rsidRDefault="004464B0" w:rsidP="00316955">
            <w:pPr>
              <w:jc w:val="center"/>
              <w:rPr>
                <w:rFonts w:cs="Arial"/>
                <w:color w:val="000000"/>
                <w:szCs w:val="20"/>
              </w:rPr>
            </w:pPr>
            <w:r>
              <w:rPr>
                <w:rFonts w:cs="Arial"/>
                <w:color w:val="000000"/>
                <w:szCs w:val="20"/>
              </w:rPr>
              <w:t>January</w:t>
            </w:r>
          </w:p>
        </w:tc>
        <w:tc>
          <w:tcPr>
            <w:tcW w:w="1915" w:type="dxa"/>
            <w:tcBorders>
              <w:top w:val="single" w:sz="12" w:space="0" w:color="auto"/>
            </w:tcBorders>
            <w:vAlign w:val="center"/>
          </w:tcPr>
          <w:p w:rsidR="004464B0" w:rsidRDefault="004464B0" w:rsidP="00316955">
            <w:pPr>
              <w:jc w:val="center"/>
              <w:rPr>
                <w:rFonts w:cs="Arial"/>
                <w:color w:val="000000"/>
                <w:szCs w:val="20"/>
              </w:rPr>
            </w:pPr>
            <w:r>
              <w:rPr>
                <w:rFonts w:cs="Arial"/>
                <w:color w:val="000000"/>
                <w:szCs w:val="20"/>
              </w:rPr>
              <w:t>3,936</w:t>
            </w:r>
          </w:p>
        </w:tc>
        <w:tc>
          <w:tcPr>
            <w:tcW w:w="1915" w:type="dxa"/>
            <w:tcBorders>
              <w:top w:val="single" w:sz="12" w:space="0" w:color="auto"/>
            </w:tcBorders>
            <w:vAlign w:val="center"/>
          </w:tcPr>
          <w:p w:rsidR="004464B0" w:rsidRDefault="004464B0" w:rsidP="00316955">
            <w:pPr>
              <w:jc w:val="center"/>
              <w:rPr>
                <w:rFonts w:cs="Arial"/>
                <w:color w:val="000000"/>
                <w:szCs w:val="20"/>
              </w:rPr>
            </w:pPr>
            <w:r>
              <w:rPr>
                <w:rFonts w:cs="Arial"/>
                <w:color w:val="000000"/>
                <w:szCs w:val="20"/>
              </w:rPr>
              <w:t>879</w:t>
            </w:r>
          </w:p>
        </w:tc>
        <w:tc>
          <w:tcPr>
            <w:tcW w:w="1916" w:type="dxa"/>
            <w:tcBorders>
              <w:top w:val="single" w:sz="12" w:space="0" w:color="auto"/>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22.3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February</w:t>
            </w:r>
          </w:p>
        </w:tc>
        <w:tc>
          <w:tcPr>
            <w:tcW w:w="1915" w:type="dxa"/>
            <w:vAlign w:val="center"/>
          </w:tcPr>
          <w:p w:rsidR="004464B0" w:rsidRDefault="004464B0" w:rsidP="00316955">
            <w:pPr>
              <w:jc w:val="center"/>
              <w:rPr>
                <w:rFonts w:cs="Arial"/>
                <w:color w:val="000000"/>
                <w:szCs w:val="20"/>
              </w:rPr>
            </w:pPr>
            <w:r>
              <w:rPr>
                <w:rFonts w:cs="Arial"/>
                <w:color w:val="000000"/>
                <w:szCs w:val="20"/>
              </w:rPr>
              <w:t>3,658</w:t>
            </w:r>
          </w:p>
        </w:tc>
        <w:tc>
          <w:tcPr>
            <w:tcW w:w="1915" w:type="dxa"/>
            <w:vAlign w:val="center"/>
          </w:tcPr>
          <w:p w:rsidR="004464B0" w:rsidRDefault="004464B0" w:rsidP="00316955">
            <w:pPr>
              <w:jc w:val="center"/>
              <w:rPr>
                <w:rFonts w:cs="Arial"/>
                <w:color w:val="000000"/>
                <w:szCs w:val="20"/>
              </w:rPr>
            </w:pPr>
            <w:r>
              <w:rPr>
                <w:rFonts w:cs="Arial"/>
                <w:color w:val="000000"/>
                <w:szCs w:val="20"/>
              </w:rPr>
              <w:t>925</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25.3</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March</w:t>
            </w:r>
          </w:p>
        </w:tc>
        <w:tc>
          <w:tcPr>
            <w:tcW w:w="1915" w:type="dxa"/>
            <w:vAlign w:val="center"/>
          </w:tcPr>
          <w:p w:rsidR="004464B0" w:rsidRDefault="004464B0" w:rsidP="00316955">
            <w:pPr>
              <w:jc w:val="center"/>
              <w:rPr>
                <w:rFonts w:cs="Arial"/>
                <w:color w:val="000000"/>
                <w:szCs w:val="20"/>
              </w:rPr>
            </w:pPr>
            <w:r>
              <w:rPr>
                <w:rFonts w:cs="Arial"/>
                <w:color w:val="000000"/>
                <w:szCs w:val="20"/>
              </w:rPr>
              <w:t>4,458</w:t>
            </w:r>
          </w:p>
        </w:tc>
        <w:tc>
          <w:tcPr>
            <w:tcW w:w="1915" w:type="dxa"/>
            <w:vAlign w:val="center"/>
          </w:tcPr>
          <w:p w:rsidR="004464B0" w:rsidRDefault="004464B0" w:rsidP="00316955">
            <w:pPr>
              <w:jc w:val="center"/>
              <w:rPr>
                <w:rFonts w:cs="Arial"/>
                <w:color w:val="000000"/>
                <w:szCs w:val="20"/>
              </w:rPr>
            </w:pPr>
            <w:r>
              <w:rPr>
                <w:rFonts w:cs="Arial"/>
                <w:color w:val="000000"/>
                <w:szCs w:val="20"/>
              </w:rPr>
              <w:t>1,247</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28.0</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April</w:t>
            </w:r>
          </w:p>
        </w:tc>
        <w:tc>
          <w:tcPr>
            <w:tcW w:w="1915" w:type="dxa"/>
            <w:vAlign w:val="center"/>
          </w:tcPr>
          <w:p w:rsidR="004464B0" w:rsidRDefault="004464B0" w:rsidP="00316955">
            <w:pPr>
              <w:jc w:val="center"/>
              <w:rPr>
                <w:rFonts w:cs="Arial"/>
                <w:color w:val="000000"/>
                <w:szCs w:val="20"/>
              </w:rPr>
            </w:pPr>
            <w:r>
              <w:rPr>
                <w:rFonts w:cs="Arial"/>
                <w:color w:val="000000"/>
                <w:szCs w:val="20"/>
              </w:rPr>
              <w:t>4,184</w:t>
            </w:r>
          </w:p>
        </w:tc>
        <w:tc>
          <w:tcPr>
            <w:tcW w:w="1915" w:type="dxa"/>
            <w:vAlign w:val="center"/>
          </w:tcPr>
          <w:p w:rsidR="004464B0" w:rsidRDefault="004464B0" w:rsidP="00316955">
            <w:pPr>
              <w:jc w:val="center"/>
              <w:rPr>
                <w:rFonts w:cs="Arial"/>
                <w:color w:val="000000"/>
                <w:szCs w:val="20"/>
              </w:rPr>
            </w:pPr>
            <w:r>
              <w:rPr>
                <w:rFonts w:cs="Arial"/>
                <w:color w:val="000000"/>
                <w:szCs w:val="20"/>
              </w:rPr>
              <w:t>1,219</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29.1</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May</w:t>
            </w:r>
          </w:p>
        </w:tc>
        <w:tc>
          <w:tcPr>
            <w:tcW w:w="1915" w:type="dxa"/>
            <w:vAlign w:val="center"/>
          </w:tcPr>
          <w:p w:rsidR="004464B0" w:rsidRDefault="004464B0" w:rsidP="00316955">
            <w:pPr>
              <w:jc w:val="center"/>
              <w:rPr>
                <w:rFonts w:cs="Arial"/>
                <w:color w:val="000000"/>
                <w:szCs w:val="20"/>
              </w:rPr>
            </w:pPr>
            <w:r>
              <w:rPr>
                <w:rFonts w:cs="Arial"/>
                <w:color w:val="000000"/>
                <w:szCs w:val="20"/>
              </w:rPr>
              <w:t>4,311</w:t>
            </w:r>
          </w:p>
        </w:tc>
        <w:tc>
          <w:tcPr>
            <w:tcW w:w="1915" w:type="dxa"/>
            <w:vAlign w:val="center"/>
          </w:tcPr>
          <w:p w:rsidR="004464B0" w:rsidRDefault="004464B0" w:rsidP="00316955">
            <w:pPr>
              <w:jc w:val="center"/>
              <w:rPr>
                <w:rFonts w:cs="Arial"/>
                <w:color w:val="000000"/>
                <w:szCs w:val="20"/>
              </w:rPr>
            </w:pPr>
            <w:r>
              <w:rPr>
                <w:rFonts w:cs="Arial"/>
                <w:color w:val="000000"/>
                <w:szCs w:val="20"/>
              </w:rPr>
              <w:t>1,224</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28.4</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June</w:t>
            </w:r>
          </w:p>
        </w:tc>
        <w:tc>
          <w:tcPr>
            <w:tcW w:w="1915" w:type="dxa"/>
            <w:vAlign w:val="center"/>
          </w:tcPr>
          <w:p w:rsidR="004464B0" w:rsidRDefault="004464B0" w:rsidP="00316955">
            <w:pPr>
              <w:jc w:val="center"/>
              <w:rPr>
                <w:rFonts w:cs="Arial"/>
                <w:color w:val="000000"/>
                <w:szCs w:val="20"/>
              </w:rPr>
            </w:pPr>
            <w:r>
              <w:rPr>
                <w:rFonts w:cs="Arial"/>
                <w:color w:val="000000"/>
                <w:szCs w:val="20"/>
              </w:rPr>
              <w:t>4,541</w:t>
            </w:r>
          </w:p>
        </w:tc>
        <w:tc>
          <w:tcPr>
            <w:tcW w:w="1915" w:type="dxa"/>
            <w:vAlign w:val="center"/>
          </w:tcPr>
          <w:p w:rsidR="004464B0" w:rsidRDefault="004464B0" w:rsidP="00316955">
            <w:pPr>
              <w:jc w:val="center"/>
              <w:rPr>
                <w:rFonts w:cs="Arial"/>
                <w:color w:val="000000"/>
                <w:szCs w:val="20"/>
              </w:rPr>
            </w:pPr>
            <w:r>
              <w:rPr>
                <w:rFonts w:cs="Arial"/>
                <w:color w:val="000000"/>
                <w:szCs w:val="20"/>
              </w:rPr>
              <w:t>1,337</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29.4</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July</w:t>
            </w:r>
          </w:p>
        </w:tc>
        <w:tc>
          <w:tcPr>
            <w:tcW w:w="1915" w:type="dxa"/>
            <w:vAlign w:val="center"/>
          </w:tcPr>
          <w:p w:rsidR="004464B0" w:rsidRDefault="004464B0" w:rsidP="00316955">
            <w:pPr>
              <w:jc w:val="center"/>
              <w:rPr>
                <w:rFonts w:cs="Arial"/>
                <w:color w:val="000000"/>
                <w:szCs w:val="20"/>
              </w:rPr>
            </w:pPr>
            <w:r>
              <w:rPr>
                <w:rFonts w:cs="Arial"/>
                <w:color w:val="000000"/>
                <w:szCs w:val="20"/>
              </w:rPr>
              <w:t>4,137</w:t>
            </w:r>
          </w:p>
        </w:tc>
        <w:tc>
          <w:tcPr>
            <w:tcW w:w="1915" w:type="dxa"/>
            <w:vAlign w:val="center"/>
          </w:tcPr>
          <w:p w:rsidR="004464B0" w:rsidRDefault="004464B0" w:rsidP="00316955">
            <w:pPr>
              <w:jc w:val="center"/>
              <w:rPr>
                <w:rFonts w:cs="Arial"/>
                <w:color w:val="000000"/>
                <w:szCs w:val="20"/>
              </w:rPr>
            </w:pPr>
            <w:r>
              <w:rPr>
                <w:rFonts w:cs="Arial"/>
                <w:color w:val="000000"/>
                <w:szCs w:val="20"/>
              </w:rPr>
              <w:t>1,181</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28.6</w:t>
            </w:r>
          </w:p>
        </w:tc>
      </w:tr>
      <w:tr w:rsidR="004464B0" w:rsidTr="00316955">
        <w:trPr>
          <w:trHeight w:hRule="exact" w:val="317"/>
        </w:trPr>
        <w:tc>
          <w:tcPr>
            <w:tcW w:w="1915" w:type="dxa"/>
            <w:tcBorders>
              <w:left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vAlign w:val="center"/>
          </w:tcPr>
          <w:p w:rsidR="004464B0" w:rsidRDefault="004464B0" w:rsidP="00316955">
            <w:pPr>
              <w:jc w:val="center"/>
              <w:rPr>
                <w:rFonts w:cs="Arial"/>
                <w:color w:val="000000"/>
                <w:szCs w:val="20"/>
              </w:rPr>
            </w:pPr>
            <w:r>
              <w:rPr>
                <w:rFonts w:cs="Arial"/>
                <w:color w:val="000000"/>
                <w:szCs w:val="20"/>
              </w:rPr>
              <w:t>August</w:t>
            </w:r>
          </w:p>
        </w:tc>
        <w:tc>
          <w:tcPr>
            <w:tcW w:w="1915" w:type="dxa"/>
            <w:vAlign w:val="center"/>
          </w:tcPr>
          <w:p w:rsidR="004464B0" w:rsidRDefault="004464B0" w:rsidP="00316955">
            <w:pPr>
              <w:jc w:val="center"/>
              <w:rPr>
                <w:rFonts w:cs="Arial"/>
                <w:color w:val="000000"/>
                <w:szCs w:val="20"/>
              </w:rPr>
            </w:pPr>
            <w:r>
              <w:rPr>
                <w:rFonts w:cs="Arial"/>
                <w:color w:val="000000"/>
                <w:szCs w:val="20"/>
              </w:rPr>
              <w:t>3,321</w:t>
            </w:r>
          </w:p>
        </w:tc>
        <w:tc>
          <w:tcPr>
            <w:tcW w:w="1915" w:type="dxa"/>
            <w:vAlign w:val="center"/>
          </w:tcPr>
          <w:p w:rsidR="004464B0" w:rsidRDefault="004464B0" w:rsidP="00316955">
            <w:pPr>
              <w:jc w:val="center"/>
              <w:rPr>
                <w:rFonts w:cs="Arial"/>
                <w:color w:val="000000"/>
                <w:szCs w:val="20"/>
              </w:rPr>
            </w:pPr>
            <w:r>
              <w:rPr>
                <w:rFonts w:cs="Arial"/>
                <w:color w:val="000000"/>
                <w:szCs w:val="20"/>
              </w:rPr>
              <w:t>916</w:t>
            </w:r>
          </w:p>
        </w:tc>
        <w:tc>
          <w:tcPr>
            <w:tcW w:w="1916" w:type="dxa"/>
            <w:tcBorders>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27.6</w:t>
            </w:r>
          </w:p>
        </w:tc>
      </w:tr>
      <w:tr w:rsidR="004464B0" w:rsidTr="00316955">
        <w:trPr>
          <w:trHeight w:hRule="exact" w:val="317"/>
        </w:trPr>
        <w:tc>
          <w:tcPr>
            <w:tcW w:w="1915" w:type="dxa"/>
            <w:tcBorders>
              <w:left w:val="single" w:sz="12" w:space="0" w:color="auto"/>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2015</w:t>
            </w:r>
          </w:p>
        </w:tc>
        <w:tc>
          <w:tcPr>
            <w:tcW w:w="1915" w:type="dxa"/>
            <w:tcBorders>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September</w:t>
            </w:r>
          </w:p>
        </w:tc>
        <w:tc>
          <w:tcPr>
            <w:tcW w:w="1915" w:type="dxa"/>
            <w:tcBorders>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2,010</w:t>
            </w:r>
          </w:p>
        </w:tc>
        <w:tc>
          <w:tcPr>
            <w:tcW w:w="1915" w:type="dxa"/>
            <w:tcBorders>
              <w:bottom w:val="single" w:sz="12" w:space="0" w:color="auto"/>
            </w:tcBorders>
            <w:vAlign w:val="center"/>
          </w:tcPr>
          <w:p w:rsidR="004464B0" w:rsidRDefault="004464B0" w:rsidP="00316955">
            <w:pPr>
              <w:jc w:val="center"/>
              <w:rPr>
                <w:rFonts w:cs="Arial"/>
                <w:color w:val="000000"/>
                <w:szCs w:val="20"/>
              </w:rPr>
            </w:pPr>
            <w:r>
              <w:rPr>
                <w:rFonts w:cs="Arial"/>
                <w:color w:val="000000"/>
                <w:szCs w:val="20"/>
              </w:rPr>
              <w:t>557</w:t>
            </w:r>
          </w:p>
        </w:tc>
        <w:tc>
          <w:tcPr>
            <w:tcW w:w="1916" w:type="dxa"/>
            <w:tcBorders>
              <w:bottom w:val="single" w:sz="12" w:space="0" w:color="auto"/>
              <w:right w:val="single" w:sz="12" w:space="0" w:color="auto"/>
            </w:tcBorders>
            <w:vAlign w:val="center"/>
          </w:tcPr>
          <w:p w:rsidR="004464B0" w:rsidRDefault="004464B0" w:rsidP="00316955">
            <w:pPr>
              <w:jc w:val="center"/>
              <w:rPr>
                <w:rFonts w:cs="Arial"/>
                <w:color w:val="000000"/>
                <w:szCs w:val="20"/>
              </w:rPr>
            </w:pPr>
            <w:r>
              <w:rPr>
                <w:rFonts w:cs="Arial"/>
                <w:color w:val="000000"/>
                <w:szCs w:val="20"/>
              </w:rPr>
              <w:t>27.7</w:t>
            </w:r>
          </w:p>
        </w:tc>
      </w:tr>
    </w:tbl>
    <w:p w:rsidR="004464B0" w:rsidRDefault="004464B0" w:rsidP="004464B0">
      <w:pPr>
        <w:spacing w:before="240" w:after="240"/>
      </w:pPr>
      <w:r>
        <w:t>Note that the portio</w:t>
      </w:r>
      <w:r w:rsidR="00BB7468">
        <w:t xml:space="preserve">n of biosolids available for land application </w:t>
      </w:r>
      <w:r>
        <w:t xml:space="preserve">will be </w:t>
      </w:r>
      <w:r w:rsidRPr="00D83105">
        <w:t>approximately 80%</w:t>
      </w:r>
      <w:r w:rsidR="00D83105" w:rsidRPr="00D83105">
        <w:t xml:space="preserve"> </w:t>
      </w:r>
      <w:r w:rsidRPr="00D83105">
        <w:t>of</w:t>
      </w:r>
      <w:r>
        <w:t xml:space="preserve"> </w:t>
      </w:r>
      <w:r w:rsidR="00CE4C6E">
        <w:t xml:space="preserve">the </w:t>
      </w:r>
      <w:r>
        <w:t xml:space="preserve">monthly total. </w:t>
      </w:r>
    </w:p>
    <w:tbl>
      <w:tblPr>
        <w:tblStyle w:val="TableGrid"/>
        <w:tblW w:w="9990" w:type="dxa"/>
        <w:tblInd w:w="-72" w:type="dxa"/>
        <w:tblLook w:val="04A0" w:firstRow="1" w:lastRow="0" w:firstColumn="1" w:lastColumn="0" w:noHBand="0" w:noVBand="1"/>
      </w:tblPr>
      <w:tblGrid>
        <w:gridCol w:w="72"/>
        <w:gridCol w:w="5508"/>
        <w:gridCol w:w="1980"/>
        <w:gridCol w:w="2088"/>
        <w:gridCol w:w="342"/>
      </w:tblGrid>
      <w:tr w:rsidR="00F054F6" w:rsidTr="00920A9F">
        <w:tc>
          <w:tcPr>
            <w:tcW w:w="9990" w:type="dxa"/>
            <w:gridSpan w:val="5"/>
            <w:shd w:val="clear" w:color="auto" w:fill="BFBFBF" w:themeFill="background1" w:themeFillShade="BF"/>
          </w:tcPr>
          <w:p w:rsidR="00F054F6" w:rsidRPr="000E7FAB" w:rsidRDefault="00F054F6" w:rsidP="00EA4766">
            <w:pPr>
              <w:spacing w:before="120" w:after="120"/>
              <w:rPr>
                <w:b/>
              </w:rPr>
            </w:pPr>
            <w:r>
              <w:rPr>
                <w:b/>
              </w:rPr>
              <w:lastRenderedPageBreak/>
              <w:t xml:space="preserve">Part 2: </w:t>
            </w:r>
            <w:r w:rsidR="00EA4766">
              <w:rPr>
                <w:b/>
              </w:rPr>
              <w:t>Respondent</w:t>
            </w:r>
            <w:r>
              <w:rPr>
                <w:b/>
              </w:rPr>
              <w:t xml:space="preserve"> Information </w:t>
            </w:r>
          </w:p>
        </w:tc>
      </w:tr>
      <w:tr w:rsidR="00BD65BE" w:rsidTr="00920A9F">
        <w:trPr>
          <w:trHeight w:val="575"/>
        </w:trPr>
        <w:tc>
          <w:tcPr>
            <w:tcW w:w="9990" w:type="dxa"/>
            <w:gridSpan w:val="5"/>
          </w:tcPr>
          <w:p w:rsidR="00BD65BE" w:rsidRPr="008E4929" w:rsidRDefault="004956CE" w:rsidP="00EA4766">
            <w:pPr>
              <w:spacing w:before="120" w:after="120"/>
              <w:rPr>
                <w:b/>
              </w:rPr>
            </w:pPr>
            <w:r>
              <w:rPr>
                <w:b/>
              </w:rPr>
              <w:t xml:space="preserve">2.1 </w:t>
            </w:r>
            <w:r w:rsidR="00EA4766">
              <w:rPr>
                <w:b/>
              </w:rPr>
              <w:t>Respondent</w:t>
            </w:r>
            <w:r w:rsidR="00BD65BE" w:rsidRPr="000E7FAB">
              <w:rPr>
                <w:b/>
              </w:rPr>
              <w:t xml:space="preserve"> Name</w:t>
            </w:r>
          </w:p>
        </w:tc>
      </w:tr>
      <w:tr w:rsidR="00BD65BE" w:rsidTr="00920A9F">
        <w:trPr>
          <w:trHeight w:val="3383"/>
        </w:trPr>
        <w:tc>
          <w:tcPr>
            <w:tcW w:w="9990" w:type="dxa"/>
            <w:gridSpan w:val="5"/>
          </w:tcPr>
          <w:p w:rsidR="00BD65BE" w:rsidRPr="000E7FAB" w:rsidRDefault="00E871AB" w:rsidP="00EA4766">
            <w:pPr>
              <w:spacing w:before="120" w:after="120"/>
              <w:rPr>
                <w:b/>
              </w:rPr>
            </w:pPr>
            <w:r>
              <w:rPr>
                <w:b/>
              </w:rPr>
              <w:t>2.2</w:t>
            </w:r>
            <w:r w:rsidR="004956CE">
              <w:rPr>
                <w:b/>
              </w:rPr>
              <w:t xml:space="preserve"> </w:t>
            </w:r>
            <w:r w:rsidR="00EA4766">
              <w:rPr>
                <w:b/>
              </w:rPr>
              <w:t xml:space="preserve">Respondent </w:t>
            </w:r>
            <w:r w:rsidR="00BD65BE" w:rsidRPr="000E7FAB">
              <w:rPr>
                <w:b/>
              </w:rPr>
              <w:t>Profile</w:t>
            </w:r>
          </w:p>
        </w:tc>
      </w:tr>
      <w:tr w:rsidR="00BD65BE" w:rsidTr="00920A9F">
        <w:trPr>
          <w:trHeight w:val="4220"/>
        </w:trPr>
        <w:tc>
          <w:tcPr>
            <w:tcW w:w="9990" w:type="dxa"/>
            <w:gridSpan w:val="5"/>
          </w:tcPr>
          <w:p w:rsidR="00BD65BE" w:rsidRDefault="00E871AB" w:rsidP="00EA4A43">
            <w:pPr>
              <w:spacing w:before="120" w:after="120"/>
              <w:rPr>
                <w:b/>
              </w:rPr>
            </w:pPr>
            <w:r>
              <w:rPr>
                <w:b/>
              </w:rPr>
              <w:t>2.3</w:t>
            </w:r>
            <w:r w:rsidR="004956CE">
              <w:rPr>
                <w:b/>
              </w:rPr>
              <w:t xml:space="preserve"> </w:t>
            </w:r>
            <w:r w:rsidR="00BD65BE" w:rsidRPr="000E7FAB">
              <w:rPr>
                <w:b/>
              </w:rPr>
              <w:t xml:space="preserve">Relevant Experience </w:t>
            </w:r>
          </w:p>
          <w:p w:rsidR="00F054F6" w:rsidRPr="000E7FAB" w:rsidRDefault="00F054F6" w:rsidP="00EA4A43">
            <w:pPr>
              <w:autoSpaceDE w:val="0"/>
              <w:autoSpaceDN w:val="0"/>
              <w:adjustRightInd w:val="0"/>
              <w:spacing w:before="120" w:after="120"/>
              <w:rPr>
                <w:b/>
              </w:rPr>
            </w:pPr>
          </w:p>
        </w:tc>
      </w:tr>
      <w:tr w:rsidR="00BD65BE" w:rsidTr="00920A9F">
        <w:trPr>
          <w:trHeight w:val="4148"/>
        </w:trPr>
        <w:tc>
          <w:tcPr>
            <w:tcW w:w="9990" w:type="dxa"/>
            <w:gridSpan w:val="5"/>
          </w:tcPr>
          <w:p w:rsidR="00F332E7" w:rsidRDefault="00E871AB" w:rsidP="00E871AB">
            <w:pPr>
              <w:spacing w:before="120" w:after="120"/>
              <w:rPr>
                <w:b/>
              </w:rPr>
            </w:pPr>
            <w:r>
              <w:rPr>
                <w:b/>
              </w:rPr>
              <w:t>2.4</w:t>
            </w:r>
            <w:r w:rsidR="004956CE">
              <w:rPr>
                <w:b/>
              </w:rPr>
              <w:t xml:space="preserve"> </w:t>
            </w:r>
            <w:r w:rsidR="000E7FAB" w:rsidRPr="000E7FAB">
              <w:rPr>
                <w:b/>
              </w:rPr>
              <w:t>Projects of Comparable Scope and Magnitude</w:t>
            </w:r>
          </w:p>
          <w:p w:rsidR="00F332E7" w:rsidRPr="000E7FAB" w:rsidRDefault="00F332E7" w:rsidP="001055E0">
            <w:pPr>
              <w:autoSpaceDE w:val="0"/>
              <w:autoSpaceDN w:val="0"/>
              <w:adjustRightInd w:val="0"/>
              <w:spacing w:before="120" w:after="120"/>
              <w:rPr>
                <w:b/>
              </w:rPr>
            </w:pPr>
          </w:p>
        </w:tc>
      </w:tr>
      <w:tr w:rsidR="00BD65BE" w:rsidTr="00920A9F">
        <w:trPr>
          <w:trHeight w:val="512"/>
        </w:trPr>
        <w:tc>
          <w:tcPr>
            <w:tcW w:w="9990" w:type="dxa"/>
            <w:gridSpan w:val="5"/>
          </w:tcPr>
          <w:p w:rsidR="00BD65BE" w:rsidRPr="000E7FAB" w:rsidRDefault="00182795" w:rsidP="00B42627">
            <w:pPr>
              <w:spacing w:before="120" w:after="120"/>
              <w:rPr>
                <w:b/>
              </w:rPr>
            </w:pPr>
            <w:r>
              <w:rPr>
                <w:b/>
              </w:rPr>
              <w:lastRenderedPageBreak/>
              <w:t>2.5</w:t>
            </w:r>
            <w:r w:rsidR="004956CE">
              <w:rPr>
                <w:b/>
              </w:rPr>
              <w:t xml:space="preserve"> </w:t>
            </w:r>
            <w:r w:rsidR="000E7FAB" w:rsidRPr="000E7FAB">
              <w:rPr>
                <w:b/>
              </w:rPr>
              <w:t xml:space="preserve">Subcontractor </w:t>
            </w:r>
            <w:r w:rsidR="00B42627">
              <w:rPr>
                <w:b/>
              </w:rPr>
              <w:t>Name</w:t>
            </w:r>
          </w:p>
        </w:tc>
      </w:tr>
      <w:tr w:rsidR="00B42627" w:rsidTr="00920A9F">
        <w:trPr>
          <w:trHeight w:val="512"/>
        </w:trPr>
        <w:tc>
          <w:tcPr>
            <w:tcW w:w="9990" w:type="dxa"/>
            <w:gridSpan w:val="5"/>
          </w:tcPr>
          <w:p w:rsidR="00B42627" w:rsidRDefault="00182795" w:rsidP="00EA4A43">
            <w:pPr>
              <w:spacing w:before="120" w:after="120"/>
              <w:rPr>
                <w:b/>
              </w:rPr>
            </w:pPr>
            <w:r>
              <w:rPr>
                <w:b/>
              </w:rPr>
              <w:t>2.6</w:t>
            </w:r>
            <w:r w:rsidR="00B42627">
              <w:rPr>
                <w:b/>
              </w:rPr>
              <w:t xml:space="preserve"> </w:t>
            </w:r>
            <w:r w:rsidR="00180358">
              <w:rPr>
                <w:b/>
              </w:rPr>
              <w:t xml:space="preserve">Subcontractor </w:t>
            </w:r>
            <w:r w:rsidR="00B42627">
              <w:rPr>
                <w:b/>
              </w:rPr>
              <w:t>Role in Project</w:t>
            </w:r>
          </w:p>
        </w:tc>
      </w:tr>
      <w:tr w:rsidR="00BD65BE" w:rsidTr="00920A9F">
        <w:trPr>
          <w:trHeight w:val="3437"/>
        </w:trPr>
        <w:tc>
          <w:tcPr>
            <w:tcW w:w="9990" w:type="dxa"/>
            <w:gridSpan w:val="5"/>
          </w:tcPr>
          <w:p w:rsidR="00BD65BE" w:rsidRPr="000E7FAB" w:rsidRDefault="00182795" w:rsidP="00B42627">
            <w:pPr>
              <w:spacing w:before="120" w:after="120"/>
              <w:rPr>
                <w:b/>
              </w:rPr>
            </w:pPr>
            <w:r>
              <w:rPr>
                <w:b/>
              </w:rPr>
              <w:t>2.7</w:t>
            </w:r>
            <w:r w:rsidR="004956CE">
              <w:rPr>
                <w:b/>
              </w:rPr>
              <w:t xml:space="preserve"> </w:t>
            </w:r>
            <w:r w:rsidR="000E7FAB" w:rsidRPr="000E7FAB">
              <w:rPr>
                <w:b/>
              </w:rPr>
              <w:t xml:space="preserve">Subcontractor </w:t>
            </w:r>
            <w:r w:rsidR="00B42627">
              <w:rPr>
                <w:b/>
              </w:rPr>
              <w:t>Profile</w:t>
            </w:r>
          </w:p>
        </w:tc>
      </w:tr>
      <w:tr w:rsidR="00BD65BE" w:rsidTr="00920A9F">
        <w:trPr>
          <w:trHeight w:val="4238"/>
        </w:trPr>
        <w:tc>
          <w:tcPr>
            <w:tcW w:w="9990" w:type="dxa"/>
            <w:gridSpan w:val="5"/>
          </w:tcPr>
          <w:p w:rsidR="00BD65BE" w:rsidRDefault="00942611" w:rsidP="00B42627">
            <w:pPr>
              <w:spacing w:before="120" w:after="120"/>
              <w:rPr>
                <w:b/>
              </w:rPr>
            </w:pPr>
            <w:r>
              <w:rPr>
                <w:b/>
              </w:rPr>
              <w:t>2.8</w:t>
            </w:r>
            <w:r w:rsidR="004956CE">
              <w:rPr>
                <w:b/>
              </w:rPr>
              <w:t xml:space="preserve"> </w:t>
            </w:r>
            <w:r w:rsidR="00DE1FFC">
              <w:rPr>
                <w:b/>
              </w:rPr>
              <w:t xml:space="preserve">Subcontractor </w:t>
            </w:r>
            <w:r w:rsidR="000E7FAB" w:rsidRPr="000E7FAB">
              <w:rPr>
                <w:b/>
              </w:rPr>
              <w:t xml:space="preserve">Relevant Experience </w:t>
            </w:r>
          </w:p>
          <w:p w:rsidR="00F332E7" w:rsidRDefault="00F332E7" w:rsidP="00B42627">
            <w:pPr>
              <w:spacing w:before="120" w:after="120"/>
              <w:rPr>
                <w:b/>
              </w:rPr>
            </w:pPr>
          </w:p>
          <w:p w:rsidR="00F332E7" w:rsidRDefault="00F332E7" w:rsidP="00B42627">
            <w:pPr>
              <w:spacing w:before="120" w:after="120"/>
              <w:rPr>
                <w:b/>
              </w:rPr>
            </w:pPr>
          </w:p>
          <w:p w:rsidR="00F332E7" w:rsidRDefault="00F332E7" w:rsidP="00B42627">
            <w:pPr>
              <w:spacing w:before="120" w:after="120"/>
              <w:rPr>
                <w:b/>
              </w:rPr>
            </w:pPr>
          </w:p>
          <w:p w:rsidR="00F332E7" w:rsidRDefault="00F332E7" w:rsidP="00B42627">
            <w:pPr>
              <w:spacing w:before="120" w:after="120"/>
              <w:rPr>
                <w:b/>
              </w:rPr>
            </w:pPr>
          </w:p>
          <w:p w:rsidR="00F332E7" w:rsidRDefault="00F332E7" w:rsidP="00B42627">
            <w:pPr>
              <w:spacing w:before="120" w:after="120"/>
              <w:rPr>
                <w:b/>
              </w:rPr>
            </w:pPr>
          </w:p>
          <w:p w:rsidR="00F332E7" w:rsidRDefault="00F332E7" w:rsidP="00B42627">
            <w:pPr>
              <w:spacing w:before="120" w:after="120"/>
              <w:rPr>
                <w:b/>
              </w:rPr>
            </w:pPr>
          </w:p>
          <w:p w:rsidR="00F332E7" w:rsidRPr="000E7FAB" w:rsidRDefault="00F332E7" w:rsidP="00B42627">
            <w:pPr>
              <w:spacing w:before="120" w:after="120"/>
              <w:rPr>
                <w:b/>
              </w:rPr>
            </w:pPr>
          </w:p>
        </w:tc>
      </w:tr>
      <w:tr w:rsidR="000E7FAB" w:rsidTr="00920A9F">
        <w:trPr>
          <w:trHeight w:val="4112"/>
        </w:trPr>
        <w:tc>
          <w:tcPr>
            <w:tcW w:w="9990" w:type="dxa"/>
            <w:gridSpan w:val="5"/>
          </w:tcPr>
          <w:p w:rsidR="00AF29A6" w:rsidRDefault="00182795" w:rsidP="00EA4A43">
            <w:pPr>
              <w:spacing w:before="120" w:after="120"/>
              <w:rPr>
                <w:b/>
              </w:rPr>
            </w:pPr>
            <w:r>
              <w:rPr>
                <w:b/>
              </w:rPr>
              <w:t>2.9</w:t>
            </w:r>
            <w:r w:rsidR="00F161FA">
              <w:rPr>
                <w:b/>
              </w:rPr>
              <w:t xml:space="preserve"> </w:t>
            </w:r>
            <w:r w:rsidR="00DE1FFC">
              <w:rPr>
                <w:b/>
              </w:rPr>
              <w:t xml:space="preserve">Subcontractor </w:t>
            </w:r>
            <w:r w:rsidR="000E7FAB" w:rsidRPr="000E7FAB">
              <w:rPr>
                <w:b/>
              </w:rPr>
              <w:t>Projects of Comparable Scope and Magnitude</w:t>
            </w:r>
          </w:p>
          <w:p w:rsidR="00AF29A6" w:rsidRDefault="00AF29A6" w:rsidP="00EA4A43">
            <w:pPr>
              <w:spacing w:before="120" w:after="120"/>
              <w:rPr>
                <w:b/>
              </w:rPr>
            </w:pPr>
          </w:p>
          <w:p w:rsidR="00AF29A6" w:rsidRDefault="00AF29A6" w:rsidP="00EA4A43">
            <w:pPr>
              <w:spacing w:before="120" w:after="120"/>
              <w:rPr>
                <w:b/>
              </w:rPr>
            </w:pPr>
          </w:p>
          <w:p w:rsidR="00F332E7" w:rsidRDefault="00F332E7" w:rsidP="00EA4A43">
            <w:pPr>
              <w:spacing w:before="120" w:after="120"/>
              <w:rPr>
                <w:b/>
              </w:rPr>
            </w:pPr>
          </w:p>
          <w:p w:rsidR="00F332E7" w:rsidRDefault="00F332E7" w:rsidP="00EA4A43">
            <w:pPr>
              <w:spacing w:before="120" w:after="120"/>
              <w:rPr>
                <w:b/>
              </w:rPr>
            </w:pPr>
          </w:p>
          <w:p w:rsidR="00F332E7" w:rsidRDefault="00F332E7" w:rsidP="00EA4A43">
            <w:pPr>
              <w:spacing w:before="120" w:after="120"/>
              <w:rPr>
                <w:b/>
              </w:rPr>
            </w:pPr>
          </w:p>
          <w:p w:rsidR="00F332E7" w:rsidRDefault="00F332E7" w:rsidP="00EA4A43">
            <w:pPr>
              <w:spacing w:before="120" w:after="120"/>
              <w:rPr>
                <w:b/>
              </w:rPr>
            </w:pPr>
          </w:p>
          <w:p w:rsidR="00AF29A6" w:rsidRPr="000E7FAB" w:rsidRDefault="00AF29A6" w:rsidP="00EA4A43">
            <w:pPr>
              <w:spacing w:before="120" w:after="120"/>
              <w:rPr>
                <w:b/>
              </w:rPr>
            </w:pPr>
            <w:bookmarkStart w:id="1" w:name="_GoBack"/>
            <w:bookmarkEnd w:id="1"/>
          </w:p>
        </w:tc>
      </w:tr>
      <w:tr w:rsidR="004956CE" w:rsidTr="00920A9F">
        <w:tc>
          <w:tcPr>
            <w:tcW w:w="9990" w:type="dxa"/>
            <w:gridSpan w:val="5"/>
            <w:shd w:val="clear" w:color="auto" w:fill="BFBFBF" w:themeFill="background1" w:themeFillShade="BF"/>
          </w:tcPr>
          <w:p w:rsidR="004956CE" w:rsidRDefault="003F7360" w:rsidP="00A5454D">
            <w:pPr>
              <w:spacing w:before="100" w:after="100"/>
              <w:rPr>
                <w:b/>
              </w:rPr>
            </w:pPr>
            <w:r>
              <w:rPr>
                <w:b/>
              </w:rPr>
              <w:lastRenderedPageBreak/>
              <w:t>Part 3</w:t>
            </w:r>
            <w:r w:rsidR="00F32807">
              <w:rPr>
                <w:b/>
              </w:rPr>
              <w:t>:</w:t>
            </w:r>
            <w:r>
              <w:rPr>
                <w:b/>
              </w:rPr>
              <w:t xml:space="preserve"> Contract </w:t>
            </w:r>
            <w:r w:rsidR="003A6CDA">
              <w:rPr>
                <w:b/>
              </w:rPr>
              <w:t>Options</w:t>
            </w:r>
          </w:p>
        </w:tc>
      </w:tr>
      <w:tr w:rsidR="004956CE" w:rsidTr="00920A9F">
        <w:tc>
          <w:tcPr>
            <w:tcW w:w="9990" w:type="dxa"/>
            <w:gridSpan w:val="5"/>
          </w:tcPr>
          <w:p w:rsidR="004956CE" w:rsidRDefault="00652016" w:rsidP="004F2690">
            <w:pPr>
              <w:spacing w:before="120" w:after="100"/>
            </w:pPr>
            <w:r>
              <w:t>The City is investigating two options for</w:t>
            </w:r>
            <w:r w:rsidR="000E121D">
              <w:t xml:space="preserve"> the bi</w:t>
            </w:r>
            <w:r w:rsidR="00EC69CC">
              <w:t>osolids land application</w:t>
            </w:r>
            <w:r w:rsidR="000E121D">
              <w:t xml:space="preserve"> contract.</w:t>
            </w:r>
            <w:r w:rsidR="00761DC8">
              <w:t xml:space="preserve"> The options are outlined below. </w:t>
            </w:r>
            <w:r w:rsidR="005B43AD">
              <w:t xml:space="preserve">Note that any estimate of quantity, time or cost, etc. provided by the Respondent is to help the City </w:t>
            </w:r>
            <w:r w:rsidR="00676AFD">
              <w:t>develop a contract for biosolids land application. The Respondent will not be held to any estimate provided in the</w:t>
            </w:r>
            <w:r w:rsidR="00F401F5">
              <w:t>ir S</w:t>
            </w:r>
            <w:r w:rsidR="00676AFD">
              <w:t>ubmission</w:t>
            </w:r>
            <w:r w:rsidR="00913727">
              <w:t xml:space="preserve">. </w:t>
            </w:r>
          </w:p>
          <w:p w:rsidR="00D75694" w:rsidRDefault="00946DB0" w:rsidP="00761DC8">
            <w:pPr>
              <w:spacing w:before="120" w:after="120"/>
            </w:pPr>
            <w:r>
              <w:t xml:space="preserve">Note the following acronyms: </w:t>
            </w:r>
          </w:p>
          <w:p w:rsidR="00D75694" w:rsidRDefault="00D75694" w:rsidP="004F2690">
            <w:pPr>
              <w:spacing w:before="120" w:after="60"/>
            </w:pPr>
            <w:r>
              <w:t>NEWPCC – North End Sewage Treatment Plant</w:t>
            </w:r>
          </w:p>
          <w:p w:rsidR="00D75694" w:rsidRPr="000E121D" w:rsidRDefault="00D75694" w:rsidP="007579C0">
            <w:pPr>
              <w:spacing w:before="120" w:after="120"/>
            </w:pPr>
            <w:r>
              <w:t>BRRMF – Brady Road Resource Management Facility</w:t>
            </w:r>
          </w:p>
        </w:tc>
      </w:tr>
      <w:tr w:rsidR="004956CE" w:rsidTr="00920A9F">
        <w:tc>
          <w:tcPr>
            <w:tcW w:w="9990" w:type="dxa"/>
            <w:gridSpan w:val="5"/>
            <w:shd w:val="clear" w:color="auto" w:fill="BFBFBF" w:themeFill="background1" w:themeFillShade="BF"/>
          </w:tcPr>
          <w:p w:rsidR="003E2A4C" w:rsidRPr="003E2A4C" w:rsidRDefault="00FF51DE" w:rsidP="007F2F33">
            <w:pPr>
              <w:spacing w:before="100" w:after="100"/>
              <w:rPr>
                <w:b/>
              </w:rPr>
            </w:pPr>
            <w:r>
              <w:rPr>
                <w:b/>
              </w:rPr>
              <w:t xml:space="preserve">3.1 </w:t>
            </w:r>
            <w:r w:rsidR="003E2A4C" w:rsidRPr="003E2A4C">
              <w:rPr>
                <w:b/>
              </w:rPr>
              <w:t xml:space="preserve">Option A: Land Application – </w:t>
            </w:r>
            <w:r w:rsidR="007F2F33" w:rsidRPr="00693E76">
              <w:rPr>
                <w:b/>
              </w:rPr>
              <w:t>Seasonal Application Program</w:t>
            </w:r>
            <w:r w:rsidR="00576695">
              <w:rPr>
                <w:b/>
              </w:rPr>
              <w:t xml:space="preserve"> </w:t>
            </w:r>
          </w:p>
        </w:tc>
      </w:tr>
      <w:tr w:rsidR="004956CE" w:rsidTr="00920A9F">
        <w:trPr>
          <w:trHeight w:val="6263"/>
        </w:trPr>
        <w:tc>
          <w:tcPr>
            <w:tcW w:w="9990" w:type="dxa"/>
            <w:gridSpan w:val="5"/>
          </w:tcPr>
          <w:p w:rsidR="00F33D53" w:rsidRDefault="00833CE0" w:rsidP="00036473">
            <w:pPr>
              <w:spacing w:before="120" w:after="120"/>
            </w:pPr>
            <w:r>
              <w:rPr>
                <w:b/>
              </w:rPr>
              <w:t xml:space="preserve">3.1.1 </w:t>
            </w:r>
            <w:r w:rsidR="00593EB0">
              <w:rPr>
                <w:b/>
              </w:rPr>
              <w:t>General Program Description</w:t>
            </w:r>
            <w:r w:rsidR="00607096" w:rsidRPr="00607096">
              <w:t xml:space="preserve">: </w:t>
            </w:r>
          </w:p>
          <w:p w:rsidR="006837F9" w:rsidRPr="00607096" w:rsidRDefault="00761DC8" w:rsidP="00036473">
            <w:pPr>
              <w:spacing w:before="120" w:after="120"/>
              <w:rPr>
                <w:b/>
              </w:rPr>
            </w:pPr>
            <w:r w:rsidRPr="00761DC8">
              <w:t xml:space="preserve">Contractor will </w:t>
            </w:r>
            <w:r w:rsidR="00FE5A86">
              <w:t xml:space="preserve">complete the following: </w:t>
            </w:r>
          </w:p>
          <w:p w:rsidR="0060203C" w:rsidRDefault="00F81BE5" w:rsidP="00F74D9E">
            <w:pPr>
              <w:tabs>
                <w:tab w:val="num" w:pos="1440"/>
              </w:tabs>
              <w:spacing w:before="120" w:after="120"/>
              <w:ind w:left="432"/>
            </w:pPr>
            <w:r>
              <w:t>a</w:t>
            </w:r>
            <w:r w:rsidR="00B627A6">
              <w:t xml:space="preserve">) </w:t>
            </w:r>
            <w:r w:rsidR="0060203C" w:rsidRPr="00F054F6">
              <w:t xml:space="preserve">Comprehensive management </w:t>
            </w:r>
            <w:r w:rsidR="00A97598">
              <w:t xml:space="preserve">and operation </w:t>
            </w:r>
            <w:r w:rsidR="0060203C">
              <w:t xml:space="preserve">of </w:t>
            </w:r>
            <w:r w:rsidR="0060203C" w:rsidRPr="00F054F6">
              <w:t>the biosolids land application program</w:t>
            </w:r>
          </w:p>
          <w:p w:rsidR="00FE5A86" w:rsidRPr="00F054F6" w:rsidRDefault="0060203C" w:rsidP="00F74D9E">
            <w:pPr>
              <w:tabs>
                <w:tab w:val="num" w:pos="1440"/>
              </w:tabs>
              <w:spacing w:before="120" w:after="120"/>
              <w:ind w:left="432"/>
            </w:pPr>
            <w:r>
              <w:t xml:space="preserve">b) </w:t>
            </w:r>
            <w:r w:rsidR="00B627A6">
              <w:t>Comply</w:t>
            </w:r>
            <w:r w:rsidR="00FE5A86">
              <w:t xml:space="preserve"> with all regulatory requirements for the program, i</w:t>
            </w:r>
            <w:r w:rsidR="00AE54E8">
              <w:t>ncluding s</w:t>
            </w:r>
            <w:r w:rsidR="00F74D9E">
              <w:t>ampling, monitoring, reporting, etc</w:t>
            </w:r>
            <w:r w:rsidR="00920A9F">
              <w:t>.</w:t>
            </w:r>
            <w:r w:rsidR="00FE5A86">
              <w:t xml:space="preserve"> </w:t>
            </w:r>
          </w:p>
          <w:p w:rsidR="00FE5A86" w:rsidRDefault="00CE3F3D" w:rsidP="00F74D9E">
            <w:pPr>
              <w:tabs>
                <w:tab w:val="num" w:pos="1440"/>
              </w:tabs>
              <w:spacing w:before="120" w:after="120"/>
              <w:ind w:left="432"/>
            </w:pPr>
            <w:r>
              <w:t>c</w:t>
            </w:r>
            <w:r w:rsidR="004F2690">
              <w:t xml:space="preserve">) </w:t>
            </w:r>
            <w:r w:rsidR="00FE5A86">
              <w:t>Public education and engagement</w:t>
            </w:r>
          </w:p>
          <w:p w:rsidR="00FE5A86" w:rsidRPr="00F054F6" w:rsidRDefault="00CE3F3D" w:rsidP="00F74D9E">
            <w:pPr>
              <w:tabs>
                <w:tab w:val="num" w:pos="1440"/>
              </w:tabs>
              <w:spacing w:before="120" w:after="120"/>
              <w:ind w:left="432"/>
            </w:pPr>
            <w:r>
              <w:t>d</w:t>
            </w:r>
            <w:r w:rsidR="00FE5A86">
              <w:t>)</w:t>
            </w:r>
            <w:r w:rsidR="004F2690">
              <w:t xml:space="preserve"> </w:t>
            </w:r>
            <w:r w:rsidR="00FE5A86" w:rsidRPr="00F054F6">
              <w:t>Consult</w:t>
            </w:r>
            <w:r w:rsidR="00FE5A86">
              <w:t xml:space="preserve"> with rural municipalities and communities </w:t>
            </w:r>
          </w:p>
          <w:p w:rsidR="00FE5A86" w:rsidRPr="00F054F6" w:rsidRDefault="00CE3F3D" w:rsidP="00F74D9E">
            <w:pPr>
              <w:tabs>
                <w:tab w:val="num" w:pos="1440"/>
              </w:tabs>
              <w:spacing w:before="120" w:after="120"/>
              <w:ind w:left="432"/>
            </w:pPr>
            <w:r>
              <w:t>e</w:t>
            </w:r>
            <w:r w:rsidR="004F2690">
              <w:t xml:space="preserve">) </w:t>
            </w:r>
            <w:r w:rsidR="00B627A6">
              <w:t xml:space="preserve">Marketing of </w:t>
            </w:r>
            <w:r w:rsidR="00FE5A86" w:rsidRPr="00F054F6">
              <w:t>biosolids to agricultural community</w:t>
            </w:r>
          </w:p>
          <w:p w:rsidR="00FE5A86" w:rsidRPr="00F054F6" w:rsidRDefault="00CE3F3D" w:rsidP="00F74D9E">
            <w:pPr>
              <w:tabs>
                <w:tab w:val="num" w:pos="1440"/>
              </w:tabs>
              <w:spacing w:before="120" w:after="120"/>
              <w:ind w:left="432"/>
            </w:pPr>
            <w:r>
              <w:t>f</w:t>
            </w:r>
            <w:r w:rsidR="004F2690">
              <w:t xml:space="preserve">) </w:t>
            </w:r>
            <w:r w:rsidR="00B627A6">
              <w:t>Secure</w:t>
            </w:r>
            <w:r w:rsidR="00FE5A86" w:rsidRPr="00F054F6">
              <w:t xml:space="preserve"> land for application</w:t>
            </w:r>
          </w:p>
          <w:p w:rsidR="00FE5A86" w:rsidRPr="00F054F6" w:rsidRDefault="00CE3F3D" w:rsidP="00F74D9E">
            <w:pPr>
              <w:tabs>
                <w:tab w:val="num" w:pos="1440"/>
              </w:tabs>
              <w:spacing w:before="120" w:after="120"/>
              <w:ind w:left="432"/>
            </w:pPr>
            <w:r>
              <w:t>g</w:t>
            </w:r>
            <w:r w:rsidR="004F2690">
              <w:t xml:space="preserve">) </w:t>
            </w:r>
            <w:r w:rsidR="00B627A6">
              <w:t>Prepare</w:t>
            </w:r>
            <w:r w:rsidR="00FE5A86" w:rsidRPr="00F054F6">
              <w:t xml:space="preserve"> Nutrient Management Plans</w:t>
            </w:r>
            <w:r w:rsidR="00FE5A86">
              <w:t>, including application rates</w:t>
            </w:r>
          </w:p>
          <w:p w:rsidR="00FE5A86" w:rsidRPr="00F054F6" w:rsidRDefault="00CE3F3D" w:rsidP="00F74D9E">
            <w:pPr>
              <w:tabs>
                <w:tab w:val="num" w:pos="1440"/>
              </w:tabs>
              <w:spacing w:before="120" w:after="120"/>
              <w:ind w:left="432"/>
            </w:pPr>
            <w:r>
              <w:t>h</w:t>
            </w:r>
            <w:r w:rsidR="004F2690">
              <w:t xml:space="preserve">) </w:t>
            </w:r>
            <w:r w:rsidR="003D076B">
              <w:t xml:space="preserve">Plan, coordinate and implement </w:t>
            </w:r>
            <w:r w:rsidR="00FE5A86">
              <w:t xml:space="preserve">land application schedule  </w:t>
            </w:r>
          </w:p>
          <w:p w:rsidR="00FE5A86" w:rsidRDefault="00CE3F3D" w:rsidP="00F74D9E">
            <w:pPr>
              <w:tabs>
                <w:tab w:val="num" w:pos="1440"/>
              </w:tabs>
              <w:spacing w:before="120" w:after="120"/>
              <w:ind w:left="432"/>
            </w:pPr>
            <w:proofErr w:type="spellStart"/>
            <w:r>
              <w:t>i</w:t>
            </w:r>
            <w:proofErr w:type="spellEnd"/>
            <w:r w:rsidR="004F2690">
              <w:t xml:space="preserve">) </w:t>
            </w:r>
            <w:r w:rsidR="00593EB0">
              <w:t>Supply</w:t>
            </w:r>
            <w:r w:rsidR="003D076B">
              <w:t>, operate and maintain</w:t>
            </w:r>
            <w:r w:rsidR="00593EB0">
              <w:t xml:space="preserve"> </w:t>
            </w:r>
            <w:r w:rsidR="00FE5A86" w:rsidRPr="00F054F6">
              <w:t>all equipment for the program</w:t>
            </w:r>
          </w:p>
          <w:p w:rsidR="0060203C" w:rsidRDefault="00CE3F3D" w:rsidP="00F74D9E">
            <w:pPr>
              <w:tabs>
                <w:tab w:val="num" w:pos="1440"/>
              </w:tabs>
              <w:spacing w:before="120" w:after="120"/>
              <w:ind w:left="432"/>
            </w:pPr>
            <w:r>
              <w:t>j</w:t>
            </w:r>
            <w:r w:rsidR="004F2690">
              <w:t xml:space="preserve">) </w:t>
            </w:r>
            <w:r w:rsidR="00D83CCD">
              <w:t xml:space="preserve">Operate </w:t>
            </w:r>
            <w:r w:rsidR="0060203C" w:rsidRPr="00F054F6">
              <w:t>biosolids</w:t>
            </w:r>
            <w:r w:rsidR="0060203C">
              <w:t xml:space="preserve"> </w:t>
            </w:r>
            <w:r w:rsidR="00107B39">
              <w:t xml:space="preserve">land </w:t>
            </w:r>
            <w:r w:rsidR="00D83CCD">
              <w:t>application program</w:t>
            </w:r>
            <w:r w:rsidR="0060203C">
              <w:t xml:space="preserve">, as generally described below: </w:t>
            </w:r>
          </w:p>
          <w:p w:rsidR="006F1168" w:rsidRDefault="00F33D53" w:rsidP="006F1168">
            <w:pPr>
              <w:tabs>
                <w:tab w:val="num" w:pos="1440"/>
              </w:tabs>
              <w:spacing w:before="120" w:after="120"/>
            </w:pPr>
            <w:r>
              <w:t>Note that biosolids will be transported from NEWPCC to desig</w:t>
            </w:r>
            <w:r w:rsidR="00F401F5">
              <w:t>nated site under existing City Contract 355-2015</w:t>
            </w:r>
          </w:p>
          <w:p w:rsidR="006837F9" w:rsidRDefault="006837F9" w:rsidP="006F1168">
            <w:pPr>
              <w:tabs>
                <w:tab w:val="num" w:pos="1440"/>
              </w:tabs>
              <w:spacing w:before="120" w:after="120"/>
            </w:pPr>
            <w:r>
              <w:t xml:space="preserve">During </w:t>
            </w:r>
            <w:r w:rsidR="00986B8F">
              <w:t xml:space="preserve">the </w:t>
            </w:r>
            <w:r>
              <w:t>application season</w:t>
            </w:r>
            <w:r w:rsidR="00761DC8">
              <w:t xml:space="preserve"> outlined in the Manitoba Nutrient Management Regulation</w:t>
            </w:r>
            <w:r>
              <w:t xml:space="preserve">, </w:t>
            </w:r>
            <w:r w:rsidR="00BD3583">
              <w:t xml:space="preserve">generally </w:t>
            </w:r>
            <w:r w:rsidR="007B53D7">
              <w:t>between April 11 and November 9</w:t>
            </w:r>
            <w:r>
              <w:t>, Contractor wi</w:t>
            </w:r>
            <w:r w:rsidR="00D75694">
              <w:t xml:space="preserve">ll </w:t>
            </w:r>
            <w:r w:rsidR="00162F22">
              <w:t>manage and operate land application program, including</w:t>
            </w:r>
            <w:r w:rsidR="0097683E">
              <w:t xml:space="preserve"> </w:t>
            </w:r>
            <w:r w:rsidR="005B43AD">
              <w:t>staging and handling of biosolids</w:t>
            </w:r>
            <w:r w:rsidR="00E76494">
              <w:t xml:space="preserve">, </w:t>
            </w:r>
            <w:r w:rsidR="0097683E">
              <w:t>biosolids</w:t>
            </w:r>
            <w:r w:rsidR="00162F22">
              <w:t xml:space="preserve"> application</w:t>
            </w:r>
            <w:r w:rsidR="001B6360">
              <w:t>, spread</w:t>
            </w:r>
            <w:r w:rsidR="00162F22">
              <w:t xml:space="preserve">ing and incorporation into soil. </w:t>
            </w:r>
            <w:r w:rsidR="00AA6552">
              <w:t>Indicate the preferred quantity of biosolids to be applied in section 3.1.9.</w:t>
            </w:r>
          </w:p>
          <w:p w:rsidR="00810993" w:rsidRPr="000E121D" w:rsidRDefault="00036473" w:rsidP="005B43AD">
            <w:pPr>
              <w:spacing w:before="120" w:after="120"/>
            </w:pPr>
            <w:r>
              <w:t xml:space="preserve">During </w:t>
            </w:r>
            <w:r w:rsidR="00F401F5">
              <w:t xml:space="preserve">the </w:t>
            </w:r>
            <w:r>
              <w:t xml:space="preserve">non-application season, </w:t>
            </w:r>
            <w:r w:rsidR="003363A5">
              <w:t>generally between</w:t>
            </w:r>
            <w:r>
              <w:t xml:space="preserve"> November 10 and April 10, </w:t>
            </w:r>
            <w:r w:rsidR="00F401F5">
              <w:t>there will be no services required from the Contractor.  B</w:t>
            </w:r>
            <w:r>
              <w:t xml:space="preserve">iosolids will be transported </w:t>
            </w:r>
            <w:r w:rsidR="00EA7FD5">
              <w:t>from NEWPCC to</w:t>
            </w:r>
            <w:r>
              <w:t xml:space="preserve"> BRRMF </w:t>
            </w:r>
            <w:r w:rsidR="001B6360">
              <w:t>under existing City Contract</w:t>
            </w:r>
            <w:r w:rsidR="0078262A">
              <w:t xml:space="preserve"> 355-2015.</w:t>
            </w:r>
            <w:r>
              <w:t xml:space="preserve"> </w:t>
            </w:r>
          </w:p>
        </w:tc>
      </w:tr>
      <w:tr w:rsidR="004956CE" w:rsidTr="00920A9F">
        <w:tc>
          <w:tcPr>
            <w:tcW w:w="9990" w:type="dxa"/>
            <w:gridSpan w:val="5"/>
          </w:tcPr>
          <w:p w:rsidR="00A4231B" w:rsidRPr="000E121D" w:rsidRDefault="00833CE0" w:rsidP="00337208">
            <w:pPr>
              <w:spacing w:before="100" w:after="100"/>
            </w:pPr>
            <w:r>
              <w:rPr>
                <w:b/>
              </w:rPr>
              <w:t xml:space="preserve">3.1.2 </w:t>
            </w:r>
            <w:r w:rsidR="003E2A4C" w:rsidRPr="0078262A">
              <w:rPr>
                <w:b/>
              </w:rPr>
              <w:t>Quantity of Biosolids</w:t>
            </w:r>
            <w:r w:rsidR="003E2A4C">
              <w:t xml:space="preserve">: </w:t>
            </w:r>
            <w:r w:rsidR="0078262A">
              <w:t xml:space="preserve">Biosolids available for </w:t>
            </w:r>
            <w:r w:rsidR="00A82263">
              <w:t xml:space="preserve">land </w:t>
            </w:r>
            <w:r w:rsidR="00004592">
              <w:t xml:space="preserve">application will be </w:t>
            </w:r>
            <w:r w:rsidR="00004592" w:rsidRPr="00D83105">
              <w:t xml:space="preserve">approximately </w:t>
            </w:r>
            <w:r w:rsidR="004C60E7" w:rsidRPr="00D83105">
              <w:t>80%</w:t>
            </w:r>
            <w:r w:rsidR="00004592" w:rsidRPr="00D83105">
              <w:t xml:space="preserve"> of</w:t>
            </w:r>
            <w:r w:rsidR="0013196D" w:rsidRPr="00D83105">
              <w:t xml:space="preserve"> monthly</w:t>
            </w:r>
            <w:r w:rsidR="00316A77">
              <w:t xml:space="preserve"> </w:t>
            </w:r>
            <w:r w:rsidR="00004592">
              <w:t>biosolids produced</w:t>
            </w:r>
            <w:r w:rsidR="00552D8B">
              <w:t xml:space="preserve"> during the application season</w:t>
            </w:r>
            <w:r w:rsidR="00004592">
              <w:t xml:space="preserve">. </w:t>
            </w:r>
            <w:r w:rsidR="0013196D">
              <w:t xml:space="preserve">Table 1 summarizes the monthly </w:t>
            </w:r>
            <w:r w:rsidR="00ED5E88">
              <w:t xml:space="preserve">biosolids </w:t>
            </w:r>
            <w:r w:rsidR="0013196D">
              <w:t xml:space="preserve">quantity from </w:t>
            </w:r>
            <w:r w:rsidR="00D95E6B">
              <w:t xml:space="preserve">2012, </w:t>
            </w:r>
            <w:r w:rsidR="0013196D">
              <w:t>2013, 2014 and part of 201</w:t>
            </w:r>
            <w:r w:rsidR="009D14D6">
              <w:t>5. For more information, see</w:t>
            </w:r>
            <w:r w:rsidR="0013196D">
              <w:t xml:space="preserve"> </w:t>
            </w:r>
            <w:r w:rsidR="00A4231B" w:rsidRPr="007579C0">
              <w:t xml:space="preserve">Biosolids Compliance Reports: </w:t>
            </w:r>
            <w:hyperlink r:id="rId9" w:anchor="complianceReport" w:history="1">
              <w:r w:rsidR="00A4231B" w:rsidRPr="00746AC4">
                <w:rPr>
                  <w:rStyle w:val="Hyperlink"/>
                </w:rPr>
                <w:t>http://winnipeg.ca/waterandwaste/sewage/WPCClicenseMonitor.stm#complianceReport</w:t>
              </w:r>
            </w:hyperlink>
          </w:p>
        </w:tc>
      </w:tr>
      <w:tr w:rsidR="004956CE" w:rsidTr="00920A9F">
        <w:tc>
          <w:tcPr>
            <w:tcW w:w="9990" w:type="dxa"/>
            <w:gridSpan w:val="5"/>
          </w:tcPr>
          <w:p w:rsidR="004956CE" w:rsidRPr="000E121D" w:rsidRDefault="00833CE0" w:rsidP="00337208">
            <w:pPr>
              <w:spacing w:before="100" w:after="100"/>
            </w:pPr>
            <w:r>
              <w:rPr>
                <w:b/>
              </w:rPr>
              <w:t xml:space="preserve">3.1.3 </w:t>
            </w:r>
            <w:r w:rsidR="003E2A4C" w:rsidRPr="0078262A">
              <w:rPr>
                <w:b/>
              </w:rPr>
              <w:t>Solids Concentration</w:t>
            </w:r>
            <w:r w:rsidR="00550595">
              <w:t>:</w:t>
            </w:r>
            <w:r w:rsidR="00004592">
              <w:t xml:space="preserve"> </w:t>
            </w:r>
            <w:r w:rsidR="00BC6EF3">
              <w:t xml:space="preserve">See Table 1 </w:t>
            </w:r>
            <w:r w:rsidR="009D14D6">
              <w:t>for summary of monthly solids concentration</w:t>
            </w:r>
            <w:r w:rsidR="00ED5E88">
              <w:t xml:space="preserve"> from </w:t>
            </w:r>
            <w:r w:rsidR="00D95E6B">
              <w:t xml:space="preserve">2012, </w:t>
            </w:r>
            <w:r w:rsidR="00ED5E88">
              <w:t>2013, 2014 and part of 2015</w:t>
            </w:r>
            <w:r w:rsidR="009D14D6">
              <w:t xml:space="preserve">. For more information, see </w:t>
            </w:r>
            <w:r w:rsidR="009D14D6" w:rsidRPr="007579C0">
              <w:t xml:space="preserve">Biosolids Compliance Reports: </w:t>
            </w:r>
            <w:hyperlink r:id="rId10" w:anchor="complianceReport" w:history="1">
              <w:r w:rsidR="009D14D6" w:rsidRPr="00746AC4">
                <w:rPr>
                  <w:rStyle w:val="Hyperlink"/>
                </w:rPr>
                <w:t>http://winnipeg.ca/waterandwaste/sewage/WPCClicenseMonitor.stm#complianceReport</w:t>
              </w:r>
            </w:hyperlink>
          </w:p>
        </w:tc>
      </w:tr>
      <w:tr w:rsidR="005965E6" w:rsidTr="00920A9F">
        <w:tc>
          <w:tcPr>
            <w:tcW w:w="9990" w:type="dxa"/>
            <w:gridSpan w:val="5"/>
          </w:tcPr>
          <w:p w:rsidR="00AE1AEC" w:rsidRPr="0027672F" w:rsidRDefault="00833CE0" w:rsidP="00A2097A">
            <w:pPr>
              <w:spacing w:before="100" w:after="100"/>
              <w:rPr>
                <w:color w:val="0000FF" w:themeColor="hyperlink"/>
                <w:u w:val="single"/>
              </w:rPr>
            </w:pPr>
            <w:r>
              <w:rPr>
                <w:b/>
              </w:rPr>
              <w:t xml:space="preserve">3.1.4 </w:t>
            </w:r>
            <w:r w:rsidR="005965E6" w:rsidRPr="0078262A">
              <w:rPr>
                <w:b/>
              </w:rPr>
              <w:t>Quality of Biosolids</w:t>
            </w:r>
            <w:r w:rsidR="005965E6">
              <w:t xml:space="preserve">: </w:t>
            </w:r>
            <w:r w:rsidR="001E27D6">
              <w:t>S</w:t>
            </w:r>
            <w:r w:rsidR="005965E6" w:rsidRPr="007579C0">
              <w:t xml:space="preserve">ee Biosolids Compliance Reports: </w:t>
            </w:r>
            <w:hyperlink r:id="rId11" w:anchor="complianceReport" w:history="1">
              <w:r w:rsidR="005965E6" w:rsidRPr="00746AC4">
                <w:rPr>
                  <w:rStyle w:val="Hyperlink"/>
                </w:rPr>
                <w:t>http://winnipeg.ca/waterandwaste/sewage/WPCClicenseMonitor.stm#complianceReport</w:t>
              </w:r>
            </w:hyperlink>
          </w:p>
        </w:tc>
      </w:tr>
      <w:tr w:rsidR="00586361" w:rsidTr="00920A9F">
        <w:tc>
          <w:tcPr>
            <w:tcW w:w="9990" w:type="dxa"/>
            <w:gridSpan w:val="5"/>
          </w:tcPr>
          <w:p w:rsidR="00586361" w:rsidRPr="0078262A" w:rsidRDefault="00833CE0" w:rsidP="00A2097A">
            <w:pPr>
              <w:spacing w:before="100" w:after="100"/>
              <w:rPr>
                <w:b/>
              </w:rPr>
            </w:pPr>
            <w:r>
              <w:rPr>
                <w:b/>
              </w:rPr>
              <w:t xml:space="preserve">3.1.5 </w:t>
            </w:r>
            <w:r w:rsidR="00586361">
              <w:rPr>
                <w:b/>
              </w:rPr>
              <w:t xml:space="preserve">Application Rate: </w:t>
            </w:r>
            <w:r w:rsidR="00586361" w:rsidRPr="00192B84">
              <w:t>See Manitoba Nutrient Management Regulation</w:t>
            </w:r>
            <w:r w:rsidR="00D27D43">
              <w:t xml:space="preserve">: </w:t>
            </w:r>
            <w:r w:rsidR="00CB342C">
              <w:t xml:space="preserve"> </w:t>
            </w:r>
            <w:hyperlink r:id="rId12" w:history="1">
              <w:r w:rsidR="00D27D43" w:rsidRPr="004837FA">
                <w:rPr>
                  <w:rStyle w:val="Hyperlink"/>
                </w:rPr>
                <w:t>http://web2.gov.mb.ca/laws/regs/current/_pdf-regs.php?reg=62/2008</w:t>
              </w:r>
            </w:hyperlink>
            <w:r w:rsidR="00D27D43">
              <w:t xml:space="preserve"> </w:t>
            </w:r>
          </w:p>
        </w:tc>
      </w:tr>
      <w:tr w:rsidR="003E2A4C" w:rsidTr="00920A9F">
        <w:trPr>
          <w:trHeight w:val="332"/>
        </w:trPr>
        <w:tc>
          <w:tcPr>
            <w:tcW w:w="9990" w:type="dxa"/>
            <w:gridSpan w:val="5"/>
          </w:tcPr>
          <w:p w:rsidR="003E2A4C" w:rsidRDefault="00833CE0" w:rsidP="00EA4A43">
            <w:pPr>
              <w:spacing w:before="120" w:after="120"/>
            </w:pPr>
            <w:r>
              <w:rPr>
                <w:b/>
              </w:rPr>
              <w:lastRenderedPageBreak/>
              <w:t xml:space="preserve">3.1.6 </w:t>
            </w:r>
            <w:r w:rsidR="003E2A4C" w:rsidRPr="0078262A">
              <w:rPr>
                <w:b/>
              </w:rPr>
              <w:t>Term of Contract</w:t>
            </w:r>
            <w:r w:rsidR="003E2A4C">
              <w:t>:</w:t>
            </w:r>
            <w:r w:rsidR="00D40A83">
              <w:t xml:space="preserve"> </w:t>
            </w:r>
            <w:r w:rsidR="006D6F5A">
              <w:t>3 year contract + 1</w:t>
            </w:r>
            <w:r w:rsidR="00A20E6B">
              <w:t xml:space="preserve"> year renewal option</w:t>
            </w:r>
            <w:r w:rsidR="006D6F5A">
              <w:t xml:space="preserve"> + 1 year renewal option</w:t>
            </w:r>
          </w:p>
        </w:tc>
      </w:tr>
      <w:tr w:rsidR="003E2A4C" w:rsidTr="00920A9F">
        <w:trPr>
          <w:trHeight w:val="170"/>
        </w:trPr>
        <w:tc>
          <w:tcPr>
            <w:tcW w:w="9990" w:type="dxa"/>
            <w:gridSpan w:val="5"/>
          </w:tcPr>
          <w:p w:rsidR="003E2A4C" w:rsidRPr="00D40A83" w:rsidRDefault="00833CE0" w:rsidP="00A5454D">
            <w:pPr>
              <w:spacing w:before="100" w:after="100"/>
            </w:pPr>
            <w:r>
              <w:rPr>
                <w:b/>
              </w:rPr>
              <w:t xml:space="preserve">3.1.7 </w:t>
            </w:r>
            <w:r w:rsidR="0097683E">
              <w:rPr>
                <w:b/>
              </w:rPr>
              <w:t>Basis of Payment</w:t>
            </w:r>
            <w:r w:rsidR="00D40A83">
              <w:rPr>
                <w:b/>
              </w:rPr>
              <w:t>:</w:t>
            </w:r>
            <w:r w:rsidR="00D40A83">
              <w:t xml:space="preserve"> </w:t>
            </w:r>
            <w:r w:rsidR="00D06659">
              <w:t>Cost</w:t>
            </w:r>
            <w:r w:rsidR="00754E1D">
              <w:t xml:space="preserve"> </w:t>
            </w:r>
            <w:r w:rsidR="00D06659">
              <w:t>/</w:t>
            </w:r>
            <w:r w:rsidR="00754E1D">
              <w:t xml:space="preserve"> </w:t>
            </w:r>
            <w:r w:rsidR="00D40A83">
              <w:t>Wet Tonne</w:t>
            </w:r>
            <w:r w:rsidR="00D745C6">
              <w:t xml:space="preserve"> for biosolids applied </w:t>
            </w:r>
          </w:p>
        </w:tc>
      </w:tr>
      <w:tr w:rsidR="00750D0F" w:rsidTr="00920A9F">
        <w:trPr>
          <w:trHeight w:val="3923"/>
        </w:trPr>
        <w:tc>
          <w:tcPr>
            <w:tcW w:w="9990" w:type="dxa"/>
            <w:gridSpan w:val="5"/>
          </w:tcPr>
          <w:p w:rsidR="00750D0F" w:rsidRPr="00781241" w:rsidRDefault="00833CE0" w:rsidP="00D96E2B">
            <w:pPr>
              <w:spacing w:before="120" w:after="120"/>
              <w:rPr>
                <w:b/>
              </w:rPr>
            </w:pPr>
            <w:r w:rsidRPr="00781241">
              <w:rPr>
                <w:b/>
              </w:rPr>
              <w:t xml:space="preserve">3.1.8 </w:t>
            </w:r>
            <w:r w:rsidR="00A03159" w:rsidRPr="00781241">
              <w:rPr>
                <w:b/>
              </w:rPr>
              <w:t>Indicate the</w:t>
            </w:r>
            <w:r w:rsidR="00750D0F" w:rsidRPr="00781241">
              <w:rPr>
                <w:b/>
              </w:rPr>
              <w:t xml:space="preserve"> level of interest in Option A</w:t>
            </w:r>
            <w:r w:rsidR="003208FE">
              <w:rPr>
                <w:b/>
              </w:rPr>
              <w:t>:</w:t>
            </w:r>
          </w:p>
        </w:tc>
      </w:tr>
      <w:tr w:rsidR="00750D0F" w:rsidTr="00920A9F">
        <w:trPr>
          <w:trHeight w:val="3752"/>
        </w:trPr>
        <w:tc>
          <w:tcPr>
            <w:tcW w:w="9990" w:type="dxa"/>
            <w:gridSpan w:val="5"/>
          </w:tcPr>
          <w:p w:rsidR="00754E1D" w:rsidRPr="008E5FBC" w:rsidRDefault="000A2C01" w:rsidP="00DB58F5">
            <w:pPr>
              <w:spacing w:before="120" w:after="120"/>
              <w:rPr>
                <w:b/>
              </w:rPr>
            </w:pPr>
            <w:r w:rsidRPr="008E5FBC">
              <w:rPr>
                <w:b/>
              </w:rPr>
              <w:t>3.1.</w:t>
            </w:r>
            <w:r w:rsidR="008A6BE7" w:rsidRPr="008E5FBC">
              <w:rPr>
                <w:b/>
              </w:rPr>
              <w:t xml:space="preserve">9 </w:t>
            </w:r>
            <w:r w:rsidR="00CE6A61" w:rsidRPr="008E5FBC">
              <w:rPr>
                <w:b/>
              </w:rPr>
              <w:t>I</w:t>
            </w:r>
            <w:r w:rsidR="008A6BE7" w:rsidRPr="008E5FBC">
              <w:rPr>
                <w:b/>
              </w:rPr>
              <w:t xml:space="preserve">ndicate the preferred quantity </w:t>
            </w:r>
            <w:r w:rsidRPr="008E5FBC">
              <w:rPr>
                <w:b/>
              </w:rPr>
              <w:t xml:space="preserve">of biosolids to be applied per </w:t>
            </w:r>
            <w:r w:rsidR="001E2172" w:rsidRPr="008E5FBC">
              <w:rPr>
                <w:b/>
              </w:rPr>
              <w:t>season</w:t>
            </w:r>
            <w:r w:rsidR="007F175A" w:rsidRPr="008E5FBC">
              <w:rPr>
                <w:b/>
              </w:rPr>
              <w:t xml:space="preserve"> for Option A</w:t>
            </w:r>
            <w:r w:rsidRPr="008E5FBC">
              <w:rPr>
                <w:b/>
              </w:rPr>
              <w:t xml:space="preserve">: </w:t>
            </w:r>
          </w:p>
        </w:tc>
      </w:tr>
      <w:tr w:rsidR="00C215D9" w:rsidTr="00920A9F">
        <w:trPr>
          <w:trHeight w:val="4400"/>
        </w:trPr>
        <w:tc>
          <w:tcPr>
            <w:tcW w:w="9990" w:type="dxa"/>
            <w:gridSpan w:val="5"/>
          </w:tcPr>
          <w:p w:rsidR="00C215D9" w:rsidRPr="008E5FBC" w:rsidRDefault="00F3184B" w:rsidP="00B07C35">
            <w:pPr>
              <w:spacing w:before="120" w:after="120"/>
              <w:rPr>
                <w:b/>
              </w:rPr>
            </w:pPr>
            <w:r w:rsidRPr="008E5FBC">
              <w:rPr>
                <w:b/>
              </w:rPr>
              <w:t xml:space="preserve">3.1.10 </w:t>
            </w:r>
            <w:r w:rsidR="00C2197A" w:rsidRPr="008E5FBC">
              <w:rPr>
                <w:b/>
              </w:rPr>
              <w:t>I</w:t>
            </w:r>
            <w:r w:rsidR="00C215D9" w:rsidRPr="008E5FBC">
              <w:rPr>
                <w:b/>
              </w:rPr>
              <w:t xml:space="preserve">ndicate the </w:t>
            </w:r>
            <w:r w:rsidR="00A61444" w:rsidRPr="008E5FBC">
              <w:rPr>
                <w:b/>
              </w:rPr>
              <w:t xml:space="preserve">approximate amount of </w:t>
            </w:r>
            <w:r w:rsidR="00C215D9" w:rsidRPr="008E5FBC">
              <w:rPr>
                <w:b/>
              </w:rPr>
              <w:t xml:space="preserve">biosolids to be applied during the following time periods: </w:t>
            </w:r>
          </w:p>
          <w:p w:rsidR="00C215D9" w:rsidRPr="008E5FBC" w:rsidRDefault="00C215D9" w:rsidP="00B07C35">
            <w:pPr>
              <w:spacing w:before="120" w:after="120"/>
              <w:rPr>
                <w:b/>
              </w:rPr>
            </w:pPr>
            <w:r w:rsidRPr="008E5FBC">
              <w:rPr>
                <w:b/>
              </w:rPr>
              <w:t xml:space="preserve">a) </w:t>
            </w:r>
            <w:r w:rsidR="00D83105" w:rsidRPr="008E5FBC">
              <w:rPr>
                <w:b/>
              </w:rPr>
              <w:t>Spring (</w:t>
            </w:r>
            <w:r w:rsidR="00693E76" w:rsidRPr="008E5FBC">
              <w:rPr>
                <w:b/>
              </w:rPr>
              <w:t>before</w:t>
            </w:r>
            <w:r w:rsidR="00337208" w:rsidRPr="008E5FBC">
              <w:rPr>
                <w:b/>
              </w:rPr>
              <w:t xml:space="preserve"> </w:t>
            </w:r>
            <w:r w:rsidR="009F5E0E" w:rsidRPr="008E5FBC">
              <w:rPr>
                <w:b/>
              </w:rPr>
              <w:t xml:space="preserve">crop </w:t>
            </w:r>
            <w:r w:rsidRPr="008E5FBC">
              <w:rPr>
                <w:b/>
              </w:rPr>
              <w:t>planting)</w:t>
            </w:r>
            <w:r w:rsidR="00D83105" w:rsidRPr="008E5FBC">
              <w:rPr>
                <w:b/>
              </w:rPr>
              <w:t xml:space="preserve">: </w:t>
            </w:r>
          </w:p>
          <w:p w:rsidR="00C215D9" w:rsidRPr="008E5FBC" w:rsidRDefault="00C215D9" w:rsidP="00B07C35">
            <w:pPr>
              <w:spacing w:before="120" w:after="120"/>
              <w:rPr>
                <w:b/>
              </w:rPr>
            </w:pPr>
          </w:p>
          <w:p w:rsidR="00AF42BB" w:rsidRDefault="00AF42BB" w:rsidP="00B07C35">
            <w:pPr>
              <w:spacing w:before="120" w:after="120"/>
              <w:rPr>
                <w:b/>
              </w:rPr>
            </w:pPr>
          </w:p>
          <w:p w:rsidR="00C215D9" w:rsidRPr="008E5FBC" w:rsidRDefault="00C215D9" w:rsidP="00B07C35">
            <w:pPr>
              <w:spacing w:before="120" w:after="120"/>
              <w:rPr>
                <w:b/>
              </w:rPr>
            </w:pPr>
            <w:r w:rsidRPr="008E5FBC">
              <w:rPr>
                <w:b/>
              </w:rPr>
              <w:t>b) Summer (</w:t>
            </w:r>
            <w:r w:rsidR="00693E76" w:rsidRPr="008E5FBC">
              <w:rPr>
                <w:b/>
              </w:rPr>
              <w:t>during</w:t>
            </w:r>
            <w:r w:rsidR="00337208" w:rsidRPr="008E5FBC">
              <w:rPr>
                <w:b/>
              </w:rPr>
              <w:t xml:space="preserve"> </w:t>
            </w:r>
            <w:r w:rsidR="009F5E0E" w:rsidRPr="008E5FBC">
              <w:rPr>
                <w:b/>
              </w:rPr>
              <w:t xml:space="preserve">crop </w:t>
            </w:r>
            <w:r w:rsidRPr="008E5FBC">
              <w:rPr>
                <w:b/>
              </w:rPr>
              <w:t>growing season)</w:t>
            </w:r>
          </w:p>
          <w:p w:rsidR="00C215D9" w:rsidRPr="008E5FBC" w:rsidRDefault="00C215D9" w:rsidP="00B07C35">
            <w:pPr>
              <w:spacing w:before="120" w:after="120"/>
              <w:rPr>
                <w:b/>
              </w:rPr>
            </w:pPr>
          </w:p>
          <w:p w:rsidR="00C215D9" w:rsidRDefault="00C215D9" w:rsidP="00B07C35">
            <w:pPr>
              <w:spacing w:before="120" w:after="120"/>
              <w:rPr>
                <w:b/>
              </w:rPr>
            </w:pPr>
          </w:p>
          <w:p w:rsidR="00C215D9" w:rsidRPr="008E5FBC" w:rsidRDefault="00C215D9" w:rsidP="00B07C35">
            <w:pPr>
              <w:spacing w:before="120" w:after="120"/>
              <w:rPr>
                <w:b/>
              </w:rPr>
            </w:pPr>
            <w:r w:rsidRPr="008E5FBC">
              <w:rPr>
                <w:b/>
              </w:rPr>
              <w:t xml:space="preserve">c) Fall (after </w:t>
            </w:r>
            <w:r w:rsidR="00337208" w:rsidRPr="008E5FBC">
              <w:rPr>
                <w:b/>
              </w:rPr>
              <w:t xml:space="preserve">crop </w:t>
            </w:r>
            <w:r w:rsidRPr="008E5FBC">
              <w:rPr>
                <w:b/>
              </w:rPr>
              <w:t>harvesting)</w:t>
            </w:r>
          </w:p>
          <w:p w:rsidR="00C215D9" w:rsidRPr="008E5FBC" w:rsidRDefault="00C215D9" w:rsidP="00B07C35">
            <w:pPr>
              <w:spacing w:before="120" w:after="120"/>
              <w:rPr>
                <w:b/>
              </w:rPr>
            </w:pPr>
          </w:p>
          <w:p w:rsidR="00C215D9" w:rsidRPr="008E5FBC" w:rsidRDefault="00C215D9" w:rsidP="00C215D9">
            <w:pPr>
              <w:spacing w:before="120" w:after="120"/>
              <w:rPr>
                <w:b/>
              </w:rPr>
            </w:pPr>
          </w:p>
        </w:tc>
      </w:tr>
      <w:tr w:rsidR="00750D0F" w:rsidTr="00920A9F">
        <w:trPr>
          <w:trHeight w:val="4130"/>
        </w:trPr>
        <w:tc>
          <w:tcPr>
            <w:tcW w:w="9990" w:type="dxa"/>
            <w:gridSpan w:val="5"/>
          </w:tcPr>
          <w:p w:rsidR="00B07C35" w:rsidRPr="00781241" w:rsidRDefault="00F3184B" w:rsidP="00B07C35">
            <w:pPr>
              <w:spacing w:before="120" w:after="120"/>
              <w:rPr>
                <w:b/>
              </w:rPr>
            </w:pPr>
            <w:r>
              <w:rPr>
                <w:b/>
              </w:rPr>
              <w:lastRenderedPageBreak/>
              <w:t>3.1.11</w:t>
            </w:r>
            <w:r w:rsidR="00833CE0" w:rsidRPr="00781241">
              <w:rPr>
                <w:b/>
              </w:rPr>
              <w:t xml:space="preserve"> </w:t>
            </w:r>
            <w:r w:rsidR="00B07C35" w:rsidRPr="00781241">
              <w:rPr>
                <w:b/>
              </w:rPr>
              <w:t>Provide an approximate range of cost</w:t>
            </w:r>
            <w:r w:rsidR="00400995" w:rsidRPr="00781241">
              <w:rPr>
                <w:b/>
              </w:rPr>
              <w:t>s</w:t>
            </w:r>
            <w:r w:rsidR="00494BC6">
              <w:rPr>
                <w:b/>
              </w:rPr>
              <w:t xml:space="preserve"> for </w:t>
            </w:r>
            <w:r w:rsidR="00B07C35" w:rsidRPr="00781241">
              <w:rPr>
                <w:b/>
              </w:rPr>
              <w:t xml:space="preserve">Option A: </w:t>
            </w:r>
          </w:p>
          <w:p w:rsidR="002E427D" w:rsidRDefault="002E427D" w:rsidP="00B07C35">
            <w:pPr>
              <w:spacing w:before="120" w:after="120"/>
            </w:pPr>
          </w:p>
          <w:p w:rsidR="00D76A55" w:rsidRDefault="00D76A55" w:rsidP="00B07C35">
            <w:pPr>
              <w:spacing w:before="120" w:after="120"/>
            </w:pPr>
          </w:p>
          <w:p w:rsidR="00B07C35" w:rsidRDefault="002E427D" w:rsidP="00B07C35">
            <w:pPr>
              <w:spacing w:before="120" w:after="120"/>
            </w:pPr>
            <w:r>
              <w:t xml:space="preserve">Approximate </w:t>
            </w:r>
            <w:r w:rsidR="00520E9D">
              <w:t>Cost / Wet Tonne for biosolids a</w:t>
            </w:r>
            <w:r w:rsidR="00B07C35">
              <w:t xml:space="preserve">pplied: </w:t>
            </w:r>
            <w:r w:rsidR="00D76A55">
              <w:t>_______________________________</w:t>
            </w:r>
            <w:r w:rsidR="00753CC8">
              <w:t>___</w:t>
            </w:r>
            <w:r w:rsidR="00532595">
              <w:t>_______</w:t>
            </w:r>
          </w:p>
          <w:p w:rsidR="002E427D" w:rsidRDefault="002E427D" w:rsidP="00EA4A43">
            <w:pPr>
              <w:spacing w:before="120" w:after="120"/>
            </w:pPr>
          </w:p>
          <w:p w:rsidR="00D76A55" w:rsidRDefault="00D76A55" w:rsidP="00EA4A43">
            <w:pPr>
              <w:spacing w:before="120" w:after="120"/>
            </w:pPr>
          </w:p>
          <w:p w:rsidR="003C10BA" w:rsidRDefault="003C10BA" w:rsidP="00EA4A43">
            <w:pPr>
              <w:spacing w:before="120" w:after="120"/>
            </w:pPr>
          </w:p>
          <w:p w:rsidR="00B07C35" w:rsidRDefault="002E427D" w:rsidP="00ED0270">
            <w:pPr>
              <w:spacing w:before="120" w:after="120"/>
            </w:pPr>
            <w:r>
              <w:t>Based on approximately ___________</w:t>
            </w:r>
            <w:r w:rsidR="00520E9D">
              <w:t>_____</w:t>
            </w:r>
            <w:r w:rsidR="00D76A55">
              <w:t>______</w:t>
            </w:r>
            <w:r w:rsidR="00532595">
              <w:t>______</w:t>
            </w:r>
            <w:r>
              <w:t xml:space="preserve"> wet tonnes of biosolids applied </w:t>
            </w:r>
            <w:r w:rsidR="00ED0270">
              <w:t>p</w:t>
            </w:r>
            <w:r w:rsidR="001E2172">
              <w:t>er season</w:t>
            </w:r>
          </w:p>
        </w:tc>
      </w:tr>
      <w:tr w:rsidR="00D06659" w:rsidTr="00920A9F">
        <w:trPr>
          <w:trHeight w:val="4310"/>
        </w:trPr>
        <w:tc>
          <w:tcPr>
            <w:tcW w:w="9990" w:type="dxa"/>
            <w:gridSpan w:val="5"/>
          </w:tcPr>
          <w:p w:rsidR="00180D34" w:rsidRPr="00781241" w:rsidRDefault="00F3184B" w:rsidP="00180D34">
            <w:pPr>
              <w:spacing w:before="120" w:after="120"/>
              <w:rPr>
                <w:b/>
              </w:rPr>
            </w:pPr>
            <w:r>
              <w:rPr>
                <w:b/>
              </w:rPr>
              <w:t>3.1.12</w:t>
            </w:r>
            <w:r w:rsidR="00833CE0" w:rsidRPr="00781241">
              <w:rPr>
                <w:b/>
              </w:rPr>
              <w:t xml:space="preserve"> </w:t>
            </w:r>
            <w:r w:rsidR="00A77DF2">
              <w:rPr>
                <w:b/>
              </w:rPr>
              <w:t xml:space="preserve">Biosolids will be delivered </w:t>
            </w:r>
            <w:r w:rsidR="00532595">
              <w:rPr>
                <w:b/>
              </w:rPr>
              <w:t xml:space="preserve">from NEWPCC </w:t>
            </w:r>
            <w:r w:rsidR="00A77DF2">
              <w:rPr>
                <w:b/>
              </w:rPr>
              <w:t xml:space="preserve">to designated site under City Contract 355-2015. </w:t>
            </w:r>
            <w:r w:rsidR="008E5FBC">
              <w:rPr>
                <w:b/>
              </w:rPr>
              <w:t xml:space="preserve"> </w:t>
            </w:r>
            <w:r w:rsidR="00A77DF2">
              <w:rPr>
                <w:b/>
              </w:rPr>
              <w:t xml:space="preserve">After delivery, the staging and handling of the biosolids will be the responsibility of the </w:t>
            </w:r>
            <w:r w:rsidR="003B610C">
              <w:rPr>
                <w:b/>
              </w:rPr>
              <w:t xml:space="preserve">Contractor. </w:t>
            </w:r>
            <w:r w:rsidR="00180D34" w:rsidRPr="00781241">
              <w:rPr>
                <w:b/>
              </w:rPr>
              <w:t xml:space="preserve">Describe a </w:t>
            </w:r>
            <w:r w:rsidR="00A77DF2">
              <w:rPr>
                <w:b/>
              </w:rPr>
              <w:t xml:space="preserve">staging and handling system </w:t>
            </w:r>
            <w:r w:rsidR="00180D34" w:rsidRPr="00781241">
              <w:rPr>
                <w:b/>
              </w:rPr>
              <w:t xml:space="preserve">that might be used for Option A: </w:t>
            </w:r>
          </w:p>
          <w:p w:rsidR="00180D34" w:rsidRDefault="00180D34" w:rsidP="00EA4A43">
            <w:pPr>
              <w:spacing w:before="120" w:after="120"/>
              <w:rPr>
                <w:b/>
              </w:rPr>
            </w:pPr>
          </w:p>
          <w:p w:rsidR="003208FE" w:rsidRDefault="003208FE" w:rsidP="00EA4A43">
            <w:pPr>
              <w:spacing w:before="120" w:after="120"/>
              <w:rPr>
                <w:b/>
              </w:rPr>
            </w:pPr>
          </w:p>
          <w:p w:rsidR="003C10BA" w:rsidRDefault="003C10BA" w:rsidP="00EA4A43">
            <w:pPr>
              <w:spacing w:before="120" w:after="120"/>
              <w:rPr>
                <w:b/>
              </w:rPr>
            </w:pPr>
          </w:p>
          <w:p w:rsidR="003C10BA" w:rsidRDefault="003C10BA" w:rsidP="00EA4A43">
            <w:pPr>
              <w:spacing w:before="120" w:after="120"/>
              <w:rPr>
                <w:b/>
              </w:rPr>
            </w:pPr>
          </w:p>
          <w:p w:rsidR="000B17E9" w:rsidRDefault="000B17E9" w:rsidP="00833CE0">
            <w:pPr>
              <w:spacing w:before="120" w:after="120"/>
            </w:pPr>
          </w:p>
        </w:tc>
      </w:tr>
      <w:tr w:rsidR="00A77DF2" w:rsidTr="00920A9F">
        <w:trPr>
          <w:trHeight w:val="4580"/>
        </w:trPr>
        <w:tc>
          <w:tcPr>
            <w:tcW w:w="9990" w:type="dxa"/>
            <w:gridSpan w:val="5"/>
          </w:tcPr>
          <w:p w:rsidR="00A77DF2" w:rsidRDefault="001D0929" w:rsidP="00A77DF2">
            <w:pPr>
              <w:spacing w:before="120" w:after="120"/>
              <w:rPr>
                <w:b/>
              </w:rPr>
            </w:pPr>
            <w:r w:rsidRPr="00B94228">
              <w:rPr>
                <w:b/>
              </w:rPr>
              <w:t xml:space="preserve">3.1.13 </w:t>
            </w:r>
            <w:r w:rsidR="00A77DF2" w:rsidRPr="00B94228">
              <w:rPr>
                <w:b/>
              </w:rPr>
              <w:t>Suggest how to manage the risk of wet weather during the application season, when field conditions are unsui</w:t>
            </w:r>
            <w:r w:rsidR="00532595">
              <w:rPr>
                <w:b/>
              </w:rPr>
              <w:t xml:space="preserve">table for biosolids application: </w:t>
            </w:r>
          </w:p>
          <w:p w:rsidR="00A77DF2" w:rsidRDefault="00A77DF2" w:rsidP="00EA4A43">
            <w:pPr>
              <w:spacing w:before="120" w:after="120"/>
              <w:rPr>
                <w:b/>
              </w:rPr>
            </w:pPr>
          </w:p>
        </w:tc>
      </w:tr>
      <w:tr w:rsidR="00833CE0" w:rsidTr="00920A9F">
        <w:trPr>
          <w:trHeight w:val="6560"/>
        </w:trPr>
        <w:tc>
          <w:tcPr>
            <w:tcW w:w="9990" w:type="dxa"/>
            <w:gridSpan w:val="5"/>
          </w:tcPr>
          <w:p w:rsidR="00180D34" w:rsidRPr="00781241" w:rsidRDefault="001D0929" w:rsidP="00180D34">
            <w:pPr>
              <w:spacing w:before="120" w:after="120"/>
              <w:rPr>
                <w:b/>
              </w:rPr>
            </w:pPr>
            <w:r>
              <w:rPr>
                <w:b/>
              </w:rPr>
              <w:lastRenderedPageBreak/>
              <w:t>3.1.14</w:t>
            </w:r>
            <w:r w:rsidR="00180D34" w:rsidRPr="00781241">
              <w:rPr>
                <w:b/>
              </w:rPr>
              <w:t xml:space="preserve"> Suggest modifications to Option A: </w:t>
            </w:r>
          </w:p>
          <w:p w:rsidR="00833CE0" w:rsidRDefault="00833CE0" w:rsidP="00180D34">
            <w:pPr>
              <w:spacing w:before="120" w:after="120"/>
            </w:pPr>
          </w:p>
        </w:tc>
      </w:tr>
      <w:tr w:rsidR="00833CE0" w:rsidTr="00920A9F">
        <w:trPr>
          <w:trHeight w:val="6380"/>
        </w:trPr>
        <w:tc>
          <w:tcPr>
            <w:tcW w:w="9990" w:type="dxa"/>
            <w:gridSpan w:val="5"/>
          </w:tcPr>
          <w:p w:rsidR="001428C9" w:rsidRPr="003F582A" w:rsidRDefault="001D0929" w:rsidP="00141A8F">
            <w:pPr>
              <w:spacing w:before="120" w:after="120"/>
              <w:rPr>
                <w:b/>
              </w:rPr>
            </w:pPr>
            <w:r>
              <w:rPr>
                <w:b/>
              </w:rPr>
              <w:t>3.1.15</w:t>
            </w:r>
            <w:r w:rsidR="001428C9" w:rsidRPr="0032716C">
              <w:rPr>
                <w:b/>
              </w:rPr>
              <w:t xml:space="preserve"> </w:t>
            </w:r>
            <w:r w:rsidR="00BB6775">
              <w:rPr>
                <w:b/>
              </w:rPr>
              <w:t>Indicate the amount of lead time required prior to starting land applicati</w:t>
            </w:r>
            <w:r w:rsidR="006E32B4">
              <w:rPr>
                <w:b/>
              </w:rPr>
              <w:t>on program described in Option A:</w:t>
            </w:r>
          </w:p>
        </w:tc>
      </w:tr>
      <w:tr w:rsidR="003E2A4C" w:rsidRPr="000E121D" w:rsidTr="00920A9F">
        <w:tc>
          <w:tcPr>
            <w:tcW w:w="9990" w:type="dxa"/>
            <w:gridSpan w:val="5"/>
            <w:shd w:val="clear" w:color="auto" w:fill="BFBFBF" w:themeFill="background1" w:themeFillShade="BF"/>
          </w:tcPr>
          <w:p w:rsidR="003E2A4C" w:rsidRPr="003E2A4C" w:rsidRDefault="00FF51DE" w:rsidP="007F2F33">
            <w:pPr>
              <w:spacing w:before="120" w:after="120"/>
              <w:rPr>
                <w:b/>
              </w:rPr>
            </w:pPr>
            <w:r>
              <w:rPr>
                <w:b/>
              </w:rPr>
              <w:lastRenderedPageBreak/>
              <w:t xml:space="preserve">3.2 </w:t>
            </w:r>
            <w:r w:rsidR="003E2A4C" w:rsidRPr="003E2A4C">
              <w:rPr>
                <w:b/>
              </w:rPr>
              <w:t>Option B: Land Application –</w:t>
            </w:r>
            <w:r w:rsidR="00C95F3F">
              <w:rPr>
                <w:b/>
              </w:rPr>
              <w:t xml:space="preserve"> </w:t>
            </w:r>
            <w:r w:rsidR="007F2F33" w:rsidRPr="00693E76">
              <w:rPr>
                <w:b/>
              </w:rPr>
              <w:t>Seasonal Application Program plus Winter Storage Facility</w:t>
            </w:r>
          </w:p>
        </w:tc>
      </w:tr>
      <w:tr w:rsidR="003E2A4C" w:rsidRPr="000E121D" w:rsidTr="00920A9F">
        <w:trPr>
          <w:trHeight w:val="4463"/>
        </w:trPr>
        <w:tc>
          <w:tcPr>
            <w:tcW w:w="9990" w:type="dxa"/>
            <w:gridSpan w:val="5"/>
          </w:tcPr>
          <w:p w:rsidR="00593EB0" w:rsidRDefault="00D577A4" w:rsidP="00593EB0">
            <w:pPr>
              <w:spacing w:before="120" w:after="120"/>
              <w:rPr>
                <w:b/>
              </w:rPr>
            </w:pPr>
            <w:r>
              <w:rPr>
                <w:b/>
              </w:rPr>
              <w:t xml:space="preserve">3.2.1 </w:t>
            </w:r>
            <w:r w:rsidR="00593EB0">
              <w:rPr>
                <w:b/>
              </w:rPr>
              <w:t>General Program Description</w:t>
            </w:r>
          </w:p>
          <w:p w:rsidR="00593EB0" w:rsidRDefault="00593EB0" w:rsidP="00593EB0">
            <w:pPr>
              <w:spacing w:before="120" w:after="120"/>
            </w:pPr>
            <w:r w:rsidRPr="00693E76">
              <w:t xml:space="preserve">Contractor will complete </w:t>
            </w:r>
            <w:r w:rsidR="00C95F3F" w:rsidRPr="00693E76">
              <w:t>all of the tasks outlined in 3.1.1 (a) to (</w:t>
            </w:r>
            <w:proofErr w:type="spellStart"/>
            <w:r w:rsidR="00C95F3F" w:rsidRPr="00693E76">
              <w:t>i</w:t>
            </w:r>
            <w:proofErr w:type="spellEnd"/>
            <w:r w:rsidR="00C95F3F" w:rsidRPr="00693E76">
              <w:t>), plus the additional tasks outlined below:</w:t>
            </w:r>
            <w:r w:rsidR="00C95F3F">
              <w:t xml:space="preserve"> </w:t>
            </w:r>
          </w:p>
          <w:p w:rsidR="00593EB0" w:rsidRDefault="00532595" w:rsidP="00C73690">
            <w:pPr>
              <w:tabs>
                <w:tab w:val="num" w:pos="1440"/>
              </w:tabs>
              <w:spacing w:before="120" w:after="120"/>
              <w:ind w:left="432"/>
            </w:pPr>
            <w:r>
              <w:t>j</w:t>
            </w:r>
            <w:r w:rsidR="00593EB0">
              <w:t xml:space="preserve">) </w:t>
            </w:r>
            <w:r w:rsidR="00F33D53">
              <w:t xml:space="preserve"> </w:t>
            </w:r>
            <w:r w:rsidR="00593EB0">
              <w:t xml:space="preserve">Provide a </w:t>
            </w:r>
            <w:r w:rsidR="00045972">
              <w:t>lic</w:t>
            </w:r>
            <w:r w:rsidR="00B9395C">
              <w:t>enced</w:t>
            </w:r>
            <w:r w:rsidR="007539C1">
              <w:t xml:space="preserve"> </w:t>
            </w:r>
            <w:r w:rsidR="00593EB0">
              <w:t>biosolids storage facility</w:t>
            </w:r>
            <w:r w:rsidR="00D31952">
              <w:t>. Contractor may use suitable existing facility, or construct new facility. Contractor will own, operate, and maintain storage facility.</w:t>
            </w:r>
            <w:r w:rsidR="007539C1">
              <w:t xml:space="preserve"> </w:t>
            </w:r>
          </w:p>
          <w:p w:rsidR="00107B39" w:rsidRDefault="00532595" w:rsidP="00C73690">
            <w:pPr>
              <w:tabs>
                <w:tab w:val="num" w:pos="1440"/>
              </w:tabs>
              <w:spacing w:before="120" w:after="120"/>
              <w:ind w:left="432"/>
            </w:pPr>
            <w:r>
              <w:t>k</w:t>
            </w:r>
            <w:r w:rsidR="00BD5686">
              <w:t xml:space="preserve">)  </w:t>
            </w:r>
            <w:r w:rsidR="00107B39">
              <w:t>Transport biosolids from storage</w:t>
            </w:r>
            <w:r w:rsidR="00D01F88">
              <w:t xml:space="preserve"> facility to agric</w:t>
            </w:r>
            <w:r w:rsidR="00A55E41">
              <w:t>ultural land, in accordance with all applicable regulations</w:t>
            </w:r>
          </w:p>
          <w:p w:rsidR="004B441C" w:rsidRDefault="00532595" w:rsidP="00C73690">
            <w:pPr>
              <w:tabs>
                <w:tab w:val="num" w:pos="1440"/>
              </w:tabs>
              <w:spacing w:before="120" w:after="120"/>
              <w:ind w:left="432"/>
            </w:pPr>
            <w:r>
              <w:t>l</w:t>
            </w:r>
            <w:r w:rsidR="004B441C">
              <w:t xml:space="preserve">)  </w:t>
            </w:r>
            <w:r w:rsidR="00107B39">
              <w:t>Operate</w:t>
            </w:r>
            <w:r w:rsidR="004B441C" w:rsidRPr="00F054F6">
              <w:t xml:space="preserve"> biosolids</w:t>
            </w:r>
            <w:r w:rsidR="00107B39">
              <w:t xml:space="preserve"> land application program</w:t>
            </w:r>
            <w:r w:rsidR="004B441C">
              <w:t>, as generally described below:</w:t>
            </w:r>
          </w:p>
          <w:p w:rsidR="00162F22" w:rsidRDefault="00162F22" w:rsidP="00162F22">
            <w:pPr>
              <w:tabs>
                <w:tab w:val="num" w:pos="1440"/>
              </w:tabs>
              <w:spacing w:before="120" w:after="120"/>
            </w:pPr>
            <w:r>
              <w:t>Note that biosolids will be</w:t>
            </w:r>
            <w:r w:rsidR="00B9395C">
              <w:t xml:space="preserve"> transported from NEWPCC to </w:t>
            </w:r>
            <w:r>
              <w:t xml:space="preserve">storage facility under existing City Contract 355-2015. </w:t>
            </w:r>
          </w:p>
          <w:p w:rsidR="00162F22" w:rsidRDefault="00162F22" w:rsidP="00162F22">
            <w:pPr>
              <w:spacing w:before="120" w:after="120"/>
            </w:pPr>
            <w:r>
              <w:t xml:space="preserve">During </w:t>
            </w:r>
            <w:r w:rsidR="00D847FB">
              <w:t xml:space="preserve">the </w:t>
            </w:r>
            <w:r>
              <w:t>application season outlined in the Manitoba Nutr</w:t>
            </w:r>
            <w:r w:rsidR="00D847FB">
              <w:t>ient Management Regulation, generally</w:t>
            </w:r>
            <w:r w:rsidR="008D32FA">
              <w:t xml:space="preserve"> between April 11 and November 9</w:t>
            </w:r>
            <w:r>
              <w:t>, Contractor will manage and operate land application program, including</w:t>
            </w:r>
            <w:r w:rsidR="0088743C">
              <w:t xml:space="preserve"> operation of biosolids storage facility, </w:t>
            </w:r>
            <w:r>
              <w:t>transportation of biosolids from storage facility to agricultural land, biosolids application, spreading and incorporation into soil.</w:t>
            </w:r>
          </w:p>
          <w:p w:rsidR="00CE521D" w:rsidRDefault="00550595" w:rsidP="00520E9D">
            <w:pPr>
              <w:spacing w:before="120" w:after="120"/>
            </w:pPr>
            <w:r>
              <w:t xml:space="preserve">During non-application season, </w:t>
            </w:r>
            <w:r w:rsidR="003363A5">
              <w:t>generally between</w:t>
            </w:r>
            <w:r w:rsidR="002C01DF">
              <w:t xml:space="preserve"> November 10 and April 10, </w:t>
            </w:r>
            <w:r w:rsidR="0088743C">
              <w:t xml:space="preserve">Contractor will operate biosolids storage facility. </w:t>
            </w:r>
          </w:p>
          <w:p w:rsidR="00D8156F" w:rsidRPr="000E121D" w:rsidRDefault="00C04B59" w:rsidP="00A55E41">
            <w:pPr>
              <w:spacing w:before="120" w:after="120"/>
            </w:pPr>
            <w:r>
              <w:t>Indicate the preferred quantity of biosolids to be app</w:t>
            </w:r>
            <w:r w:rsidR="00320E65">
              <w:t>lied and stored in section 3.2.10</w:t>
            </w:r>
            <w:r>
              <w:t>.</w:t>
            </w:r>
          </w:p>
        </w:tc>
      </w:tr>
      <w:tr w:rsidR="003E2A4C" w:rsidRPr="000E121D" w:rsidTr="00920A9F">
        <w:tc>
          <w:tcPr>
            <w:tcW w:w="9990" w:type="dxa"/>
            <w:gridSpan w:val="5"/>
          </w:tcPr>
          <w:p w:rsidR="00D8156F" w:rsidRPr="00D8156F" w:rsidRDefault="00D577A4" w:rsidP="0088743C">
            <w:pPr>
              <w:spacing w:before="120" w:after="120"/>
            </w:pPr>
            <w:r>
              <w:rPr>
                <w:b/>
              </w:rPr>
              <w:t xml:space="preserve">3.2.2 </w:t>
            </w:r>
            <w:r w:rsidR="00D12D5D" w:rsidRPr="0078262A">
              <w:rPr>
                <w:b/>
              </w:rPr>
              <w:t>Quantity of Biosolids</w:t>
            </w:r>
            <w:r w:rsidR="00A55E41" w:rsidRPr="00B954E3">
              <w:rPr>
                <w:b/>
              </w:rPr>
              <w:t>*</w:t>
            </w:r>
            <w:r w:rsidR="00D12D5D">
              <w:t>: Biosolids available for land appli</w:t>
            </w:r>
            <w:r w:rsidR="00DF3DB3">
              <w:t xml:space="preserve">cation will be </w:t>
            </w:r>
            <w:r w:rsidR="00DF3DB3" w:rsidRPr="00D83105">
              <w:t xml:space="preserve">approximately </w:t>
            </w:r>
            <w:r w:rsidR="00D12D5D" w:rsidRPr="00D83105">
              <w:t xml:space="preserve">80% of </w:t>
            </w:r>
            <w:r w:rsidR="00850F2B" w:rsidRPr="00D83105">
              <w:t>monthly</w:t>
            </w:r>
            <w:r w:rsidR="00D12D5D">
              <w:t xml:space="preserve"> </w:t>
            </w:r>
            <w:r w:rsidR="00850F2B">
              <w:t>biosolids produced for the</w:t>
            </w:r>
            <w:r w:rsidR="00D12D5D">
              <w:t xml:space="preserve"> year. </w:t>
            </w:r>
            <w:r w:rsidR="0038568E">
              <w:t xml:space="preserve">Table 1 summarizes the monthly biosolids quantity from </w:t>
            </w:r>
            <w:r w:rsidR="00DC3F2E">
              <w:t xml:space="preserve">2012, </w:t>
            </w:r>
            <w:r w:rsidR="0038568E">
              <w:t xml:space="preserve">2013, 2014 and part of 2015. For more information, see </w:t>
            </w:r>
            <w:r w:rsidR="003363A5">
              <w:t>Biosolids Compliance Reports:</w:t>
            </w:r>
            <w:r w:rsidR="0038568E">
              <w:t xml:space="preserve"> </w:t>
            </w:r>
            <w:hyperlink r:id="rId13" w:anchor="complianceReport" w:history="1">
              <w:r w:rsidR="00DF3DB3" w:rsidRPr="00746AC4">
                <w:rPr>
                  <w:rStyle w:val="Hyperlink"/>
                </w:rPr>
                <w:t>http://winnipeg.ca/waterandwaste/sewage/WPCClicenseMonitor.stm#complianceReport</w:t>
              </w:r>
            </w:hyperlink>
          </w:p>
        </w:tc>
      </w:tr>
      <w:tr w:rsidR="003E2A4C" w:rsidRPr="000E121D" w:rsidTr="00920A9F">
        <w:tc>
          <w:tcPr>
            <w:tcW w:w="9990" w:type="dxa"/>
            <w:gridSpan w:val="5"/>
          </w:tcPr>
          <w:p w:rsidR="003E2A4C" w:rsidRPr="00EC464C" w:rsidRDefault="00D577A4" w:rsidP="0088743C">
            <w:pPr>
              <w:spacing w:before="120" w:after="120"/>
              <w:rPr>
                <w:b/>
              </w:rPr>
            </w:pPr>
            <w:r>
              <w:rPr>
                <w:b/>
              </w:rPr>
              <w:t xml:space="preserve">3.2.3 </w:t>
            </w:r>
            <w:r w:rsidR="00DF3DB3" w:rsidRPr="0078262A">
              <w:rPr>
                <w:b/>
              </w:rPr>
              <w:t>Solids Concentration</w:t>
            </w:r>
            <w:r w:rsidR="00A55E41" w:rsidRPr="00B954E3">
              <w:rPr>
                <w:b/>
              </w:rPr>
              <w:t>*</w:t>
            </w:r>
            <w:r w:rsidR="00DF3DB3">
              <w:t xml:space="preserve">: </w:t>
            </w:r>
            <w:r w:rsidR="0038568E">
              <w:t xml:space="preserve">See Table 1 for summary of monthly solids concentration from </w:t>
            </w:r>
            <w:r w:rsidR="00DC3F2E">
              <w:t xml:space="preserve">2012, </w:t>
            </w:r>
            <w:r w:rsidR="0038568E">
              <w:t xml:space="preserve">2013, 2014 and part of 2015. For more information, see </w:t>
            </w:r>
            <w:r w:rsidR="0038568E" w:rsidRPr="007579C0">
              <w:t xml:space="preserve">Biosolids Compliance Reports: </w:t>
            </w:r>
            <w:hyperlink r:id="rId14" w:anchor="complianceReport" w:history="1">
              <w:r w:rsidR="00DF3DB3" w:rsidRPr="00746AC4">
                <w:rPr>
                  <w:rStyle w:val="Hyperlink"/>
                </w:rPr>
                <w:t>http://winnipeg.ca/waterandwaste/sewage/WPCClicenseMonitor.stm#complianceReport</w:t>
              </w:r>
            </w:hyperlink>
          </w:p>
        </w:tc>
      </w:tr>
      <w:tr w:rsidR="003E2A4C" w:rsidTr="00920A9F">
        <w:tc>
          <w:tcPr>
            <w:tcW w:w="9990" w:type="dxa"/>
            <w:gridSpan w:val="5"/>
          </w:tcPr>
          <w:p w:rsidR="003E2A4C" w:rsidRDefault="00D577A4" w:rsidP="00316955">
            <w:pPr>
              <w:spacing w:before="120" w:after="120"/>
            </w:pPr>
            <w:r>
              <w:rPr>
                <w:b/>
              </w:rPr>
              <w:t xml:space="preserve">3.2.4 </w:t>
            </w:r>
            <w:r w:rsidR="003E2A4C" w:rsidRPr="00EC464C">
              <w:rPr>
                <w:b/>
              </w:rPr>
              <w:t>Quality of Biosolids</w:t>
            </w:r>
            <w:r w:rsidR="00A55E41" w:rsidRPr="00B954E3">
              <w:rPr>
                <w:b/>
              </w:rPr>
              <w:t>*</w:t>
            </w:r>
            <w:r w:rsidR="003E2A4C" w:rsidRPr="00B954E3">
              <w:t>:</w:t>
            </w:r>
            <w:r w:rsidR="003E2A4C">
              <w:t xml:space="preserve"> </w:t>
            </w:r>
            <w:r w:rsidR="001E27D6">
              <w:t>S</w:t>
            </w:r>
            <w:r w:rsidR="002E2909" w:rsidRPr="007579C0">
              <w:t xml:space="preserve">ee Biosolids Compliance Reports: </w:t>
            </w:r>
            <w:hyperlink r:id="rId15" w:anchor="complianceReport" w:history="1">
              <w:r w:rsidR="002E2909" w:rsidRPr="00746AC4">
                <w:rPr>
                  <w:rStyle w:val="Hyperlink"/>
                </w:rPr>
                <w:t>http://winnipeg.ca/waterandwaste/sewage/WPCClicenseMonitor.stm#complianceReport</w:t>
              </w:r>
            </w:hyperlink>
          </w:p>
        </w:tc>
      </w:tr>
      <w:tr w:rsidR="00DF3DB3" w:rsidTr="00920A9F">
        <w:tc>
          <w:tcPr>
            <w:tcW w:w="9990" w:type="dxa"/>
            <w:gridSpan w:val="5"/>
          </w:tcPr>
          <w:p w:rsidR="00DF3DB3" w:rsidRPr="00EC464C" w:rsidRDefault="00D577A4" w:rsidP="00316955">
            <w:pPr>
              <w:spacing w:before="120" w:after="120"/>
              <w:rPr>
                <w:b/>
              </w:rPr>
            </w:pPr>
            <w:r>
              <w:rPr>
                <w:b/>
              </w:rPr>
              <w:t xml:space="preserve">3.2.5 </w:t>
            </w:r>
            <w:r w:rsidR="00DF3DB3">
              <w:rPr>
                <w:b/>
              </w:rPr>
              <w:t xml:space="preserve">Application Rate: </w:t>
            </w:r>
            <w:r w:rsidR="00DF3DB3" w:rsidRPr="00192B84">
              <w:t>See Manitoba Nutrient Management Regulation</w:t>
            </w:r>
            <w:r w:rsidR="00DF3DB3">
              <w:t xml:space="preserve">: </w:t>
            </w:r>
            <w:hyperlink r:id="rId16" w:history="1">
              <w:r w:rsidR="00DF3DB3" w:rsidRPr="004837FA">
                <w:rPr>
                  <w:rStyle w:val="Hyperlink"/>
                </w:rPr>
                <w:t>http://web2.gov.mb.ca/laws/regs/current/_pdf-regs.php?reg=62/2008</w:t>
              </w:r>
            </w:hyperlink>
          </w:p>
        </w:tc>
      </w:tr>
      <w:tr w:rsidR="00DF3DB3" w:rsidTr="00920A9F">
        <w:tc>
          <w:tcPr>
            <w:tcW w:w="9990" w:type="dxa"/>
            <w:gridSpan w:val="5"/>
          </w:tcPr>
          <w:p w:rsidR="00DF3DB3" w:rsidRDefault="00D577A4" w:rsidP="00A55E41">
            <w:pPr>
              <w:spacing w:before="120" w:after="120"/>
            </w:pPr>
            <w:r>
              <w:rPr>
                <w:b/>
              </w:rPr>
              <w:t xml:space="preserve">3.2.6 </w:t>
            </w:r>
            <w:r w:rsidR="00DF3DB3" w:rsidRPr="00EC464C">
              <w:rPr>
                <w:b/>
              </w:rPr>
              <w:t>Term of Contract</w:t>
            </w:r>
            <w:r w:rsidR="00DF3DB3">
              <w:t>: 5 year contract + 2 year renewal option + 2 year renewal option</w:t>
            </w:r>
            <w:r w:rsidR="007304DE">
              <w:t xml:space="preserve">. </w:t>
            </w:r>
          </w:p>
        </w:tc>
      </w:tr>
      <w:tr w:rsidR="004F2F36" w:rsidTr="00920A9F">
        <w:tc>
          <w:tcPr>
            <w:tcW w:w="9990" w:type="dxa"/>
            <w:gridSpan w:val="5"/>
          </w:tcPr>
          <w:p w:rsidR="00070495" w:rsidRDefault="00D577A4" w:rsidP="00316955">
            <w:pPr>
              <w:spacing w:before="120" w:after="120"/>
            </w:pPr>
            <w:r>
              <w:rPr>
                <w:b/>
              </w:rPr>
              <w:t xml:space="preserve">3.2.7 </w:t>
            </w:r>
            <w:r w:rsidR="00E6271F">
              <w:rPr>
                <w:b/>
              </w:rPr>
              <w:t>Basis of Payment</w:t>
            </w:r>
            <w:r w:rsidR="004F2F36">
              <w:t>:</w:t>
            </w:r>
            <w:r w:rsidR="001E1501">
              <w:t xml:space="preserve"> </w:t>
            </w:r>
            <w:r w:rsidR="00D06659">
              <w:t>Cost</w:t>
            </w:r>
            <w:r w:rsidR="00754E1D">
              <w:t xml:space="preserve"> </w:t>
            </w:r>
            <w:r w:rsidR="001E1501">
              <w:t>/</w:t>
            </w:r>
            <w:r w:rsidR="00754E1D">
              <w:t xml:space="preserve"> </w:t>
            </w:r>
            <w:r w:rsidR="001E1501">
              <w:t>Wet Tonne for biosolids applied</w:t>
            </w:r>
            <w:r w:rsidR="0053105D">
              <w:t xml:space="preserve"> and </w:t>
            </w:r>
            <w:r w:rsidR="00070495">
              <w:t>Cost</w:t>
            </w:r>
            <w:r w:rsidR="00754E1D">
              <w:t xml:space="preserve"> </w:t>
            </w:r>
            <w:r w:rsidR="00070495">
              <w:t>/</w:t>
            </w:r>
            <w:r w:rsidR="00754E1D">
              <w:t xml:space="preserve"> </w:t>
            </w:r>
            <w:r w:rsidR="00070495">
              <w:t>Wet Tonne for biosolids stored</w:t>
            </w:r>
          </w:p>
        </w:tc>
      </w:tr>
      <w:tr w:rsidR="00A55E41" w:rsidTr="00920A9F">
        <w:tc>
          <w:tcPr>
            <w:tcW w:w="9990" w:type="dxa"/>
            <w:gridSpan w:val="5"/>
          </w:tcPr>
          <w:p w:rsidR="00A55E41" w:rsidRDefault="00C77BE9" w:rsidP="00A77DF2">
            <w:pPr>
              <w:spacing w:before="120" w:after="120"/>
              <w:rPr>
                <w:b/>
              </w:rPr>
            </w:pPr>
            <w:r>
              <w:rPr>
                <w:rStyle w:val="Hyperlink"/>
                <w:b/>
                <w:color w:val="auto"/>
                <w:u w:val="none"/>
              </w:rPr>
              <w:t xml:space="preserve">3.2.8 </w:t>
            </w:r>
            <w:r w:rsidR="006B654B" w:rsidRPr="00B954E3">
              <w:rPr>
                <w:rStyle w:val="Hyperlink"/>
                <w:b/>
                <w:color w:val="auto"/>
                <w:u w:val="none"/>
              </w:rPr>
              <w:t>*</w:t>
            </w:r>
            <w:r w:rsidR="00A55E41" w:rsidRPr="00B954E3">
              <w:rPr>
                <w:rStyle w:val="Hyperlink"/>
                <w:b/>
                <w:color w:val="auto"/>
                <w:u w:val="none"/>
              </w:rPr>
              <w:t>Note</w:t>
            </w:r>
            <w:r w:rsidR="00A55E41">
              <w:rPr>
                <w:rStyle w:val="Hyperlink"/>
                <w:color w:val="auto"/>
                <w:u w:val="none"/>
              </w:rPr>
              <w:t xml:space="preserve">: </w:t>
            </w:r>
            <w:r w:rsidR="00F6148E">
              <w:rPr>
                <w:rStyle w:val="Hyperlink"/>
                <w:color w:val="auto"/>
                <w:u w:val="none"/>
              </w:rPr>
              <w:t>As</w:t>
            </w:r>
            <w:r w:rsidR="0088743C">
              <w:rPr>
                <w:rStyle w:val="Hyperlink"/>
                <w:color w:val="auto"/>
                <w:u w:val="none"/>
              </w:rPr>
              <w:t xml:space="preserve"> part of the SEWPCC and NEWPCC U</w:t>
            </w:r>
            <w:r w:rsidR="00F6148E">
              <w:rPr>
                <w:rStyle w:val="Hyperlink"/>
                <w:color w:val="auto"/>
                <w:u w:val="none"/>
              </w:rPr>
              <w:t>pgrade projects, the secondary treatment process</w:t>
            </w:r>
            <w:r w:rsidR="005C2948">
              <w:rPr>
                <w:rStyle w:val="Hyperlink"/>
                <w:color w:val="auto"/>
                <w:u w:val="none"/>
              </w:rPr>
              <w:t>es</w:t>
            </w:r>
            <w:r w:rsidR="00F6148E">
              <w:rPr>
                <w:rStyle w:val="Hyperlink"/>
                <w:color w:val="auto"/>
                <w:u w:val="none"/>
              </w:rPr>
              <w:t xml:space="preserve"> will be upgraded to biological nutrient removal (BNR). </w:t>
            </w:r>
            <w:r w:rsidR="0088743C">
              <w:rPr>
                <w:rStyle w:val="Hyperlink"/>
                <w:color w:val="auto"/>
                <w:u w:val="none"/>
              </w:rPr>
              <w:t>As part of the NEWPCC U</w:t>
            </w:r>
            <w:r w:rsidR="00B954E3">
              <w:rPr>
                <w:rStyle w:val="Hyperlink"/>
                <w:color w:val="auto"/>
                <w:u w:val="none"/>
              </w:rPr>
              <w:t>pgrade</w:t>
            </w:r>
            <w:r w:rsidR="00A55E41">
              <w:rPr>
                <w:rStyle w:val="Hyperlink"/>
                <w:color w:val="auto"/>
                <w:u w:val="none"/>
              </w:rPr>
              <w:t>, the sludg</w:t>
            </w:r>
            <w:r w:rsidR="00F6148E">
              <w:rPr>
                <w:rStyle w:val="Hyperlink"/>
                <w:color w:val="auto"/>
                <w:u w:val="none"/>
              </w:rPr>
              <w:t xml:space="preserve">e treatment process </w:t>
            </w:r>
            <w:r w:rsidR="00A55E41">
              <w:rPr>
                <w:rStyle w:val="Hyperlink"/>
                <w:color w:val="auto"/>
                <w:u w:val="none"/>
              </w:rPr>
              <w:t xml:space="preserve">will </w:t>
            </w:r>
            <w:r w:rsidR="00F6148E">
              <w:rPr>
                <w:rStyle w:val="Hyperlink"/>
                <w:color w:val="auto"/>
                <w:u w:val="none"/>
              </w:rPr>
              <w:t xml:space="preserve">be upgraded to </w:t>
            </w:r>
            <w:r w:rsidR="00A55E41">
              <w:rPr>
                <w:rStyle w:val="Hyperlink"/>
                <w:color w:val="auto"/>
                <w:u w:val="none"/>
              </w:rPr>
              <w:t>include thermal hydrolysis, anaer</w:t>
            </w:r>
            <w:r w:rsidR="005D4A13">
              <w:rPr>
                <w:rStyle w:val="Hyperlink"/>
                <w:color w:val="auto"/>
                <w:u w:val="none"/>
              </w:rPr>
              <w:t xml:space="preserve">obic digestion, </w:t>
            </w:r>
            <w:proofErr w:type="gramStart"/>
            <w:r w:rsidR="005D4A13">
              <w:rPr>
                <w:rStyle w:val="Hyperlink"/>
                <w:color w:val="auto"/>
                <w:u w:val="none"/>
              </w:rPr>
              <w:t>dewatering</w:t>
            </w:r>
            <w:proofErr w:type="gramEnd"/>
            <w:r w:rsidR="00A55E41">
              <w:rPr>
                <w:rStyle w:val="Hyperlink"/>
                <w:color w:val="auto"/>
                <w:u w:val="none"/>
              </w:rPr>
              <w:t xml:space="preserve"> and phosphorus recovery </w:t>
            </w:r>
            <w:r w:rsidR="006538A4">
              <w:rPr>
                <w:rStyle w:val="Hyperlink"/>
                <w:color w:val="auto"/>
                <w:u w:val="none"/>
              </w:rPr>
              <w:t xml:space="preserve">in the form of </w:t>
            </w:r>
            <w:proofErr w:type="spellStart"/>
            <w:r w:rsidR="006538A4">
              <w:rPr>
                <w:rStyle w:val="Hyperlink"/>
                <w:color w:val="auto"/>
                <w:u w:val="none"/>
              </w:rPr>
              <w:t>struvite</w:t>
            </w:r>
            <w:proofErr w:type="spellEnd"/>
            <w:r w:rsidR="00F6148E">
              <w:rPr>
                <w:rStyle w:val="Hyperlink"/>
                <w:color w:val="auto"/>
                <w:u w:val="none"/>
              </w:rPr>
              <w:t xml:space="preserve">. </w:t>
            </w:r>
            <w:r w:rsidR="00532595">
              <w:rPr>
                <w:rStyle w:val="Hyperlink"/>
                <w:color w:val="auto"/>
                <w:u w:val="none"/>
              </w:rPr>
              <w:t>The</w:t>
            </w:r>
            <w:r w:rsidR="004167FF">
              <w:rPr>
                <w:rStyle w:val="Hyperlink"/>
                <w:color w:val="auto"/>
                <w:u w:val="none"/>
              </w:rPr>
              <w:t xml:space="preserve"> upgrades mea</w:t>
            </w:r>
            <w:r w:rsidR="009B29A1">
              <w:rPr>
                <w:rStyle w:val="Hyperlink"/>
                <w:color w:val="auto"/>
                <w:u w:val="none"/>
              </w:rPr>
              <w:t xml:space="preserve">n that the biosolids </w:t>
            </w:r>
            <w:r w:rsidR="0066546B">
              <w:rPr>
                <w:rStyle w:val="Hyperlink"/>
                <w:color w:val="auto"/>
                <w:u w:val="none"/>
              </w:rPr>
              <w:t xml:space="preserve">quality, </w:t>
            </w:r>
            <w:r w:rsidR="004167FF">
              <w:rPr>
                <w:rStyle w:val="Hyperlink"/>
                <w:color w:val="auto"/>
                <w:u w:val="none"/>
              </w:rPr>
              <w:t>quantity</w:t>
            </w:r>
            <w:r w:rsidR="009B29A1">
              <w:rPr>
                <w:rStyle w:val="Hyperlink"/>
                <w:color w:val="auto"/>
                <w:u w:val="none"/>
              </w:rPr>
              <w:t xml:space="preserve"> and solids concentration</w:t>
            </w:r>
            <w:r w:rsidR="004167FF">
              <w:rPr>
                <w:rStyle w:val="Hyperlink"/>
                <w:color w:val="auto"/>
                <w:u w:val="none"/>
              </w:rPr>
              <w:t xml:space="preserve"> may change ov</w:t>
            </w:r>
            <w:r w:rsidR="005D4A13">
              <w:rPr>
                <w:rStyle w:val="Hyperlink"/>
                <w:color w:val="auto"/>
                <w:u w:val="none"/>
              </w:rPr>
              <w:t>er the course of the</w:t>
            </w:r>
            <w:r w:rsidR="009B29A1">
              <w:rPr>
                <w:rStyle w:val="Hyperlink"/>
                <w:color w:val="auto"/>
                <w:u w:val="none"/>
              </w:rPr>
              <w:t xml:space="preserve"> contract. </w:t>
            </w:r>
            <w:r w:rsidR="00A77DF2">
              <w:rPr>
                <w:rStyle w:val="Hyperlink"/>
                <w:color w:val="auto"/>
                <w:u w:val="none"/>
              </w:rPr>
              <w:t xml:space="preserve">The upgraded biosolids processes have not been </w:t>
            </w:r>
            <w:r w:rsidR="00920A9F">
              <w:rPr>
                <w:rStyle w:val="Hyperlink"/>
                <w:color w:val="auto"/>
                <w:u w:val="none"/>
              </w:rPr>
              <w:t>designed</w:t>
            </w:r>
            <w:r w:rsidR="00A77DF2">
              <w:rPr>
                <w:rStyle w:val="Hyperlink"/>
                <w:color w:val="auto"/>
                <w:u w:val="none"/>
              </w:rPr>
              <w:t xml:space="preserve"> and specific information on biosolids quality, quantity and solids concentration after the upgrades is not available at this time.</w:t>
            </w:r>
          </w:p>
        </w:tc>
      </w:tr>
      <w:tr w:rsidR="00850F2B" w:rsidTr="00920A9F">
        <w:trPr>
          <w:trHeight w:val="2978"/>
        </w:trPr>
        <w:tc>
          <w:tcPr>
            <w:tcW w:w="9990" w:type="dxa"/>
            <w:gridSpan w:val="5"/>
          </w:tcPr>
          <w:p w:rsidR="00175F42" w:rsidRDefault="00A7249F" w:rsidP="00B95D41">
            <w:pPr>
              <w:spacing w:before="120" w:after="120"/>
              <w:rPr>
                <w:b/>
              </w:rPr>
            </w:pPr>
            <w:r>
              <w:rPr>
                <w:b/>
              </w:rPr>
              <w:lastRenderedPageBreak/>
              <w:t>3.2.9</w:t>
            </w:r>
            <w:r w:rsidR="00175F42">
              <w:rPr>
                <w:b/>
              </w:rPr>
              <w:t xml:space="preserve"> Indicate the</w:t>
            </w:r>
            <w:r w:rsidR="00DA6964">
              <w:rPr>
                <w:b/>
              </w:rPr>
              <w:t xml:space="preserve"> level of interest in Option B:</w:t>
            </w:r>
          </w:p>
          <w:p w:rsidR="00BB0ECC" w:rsidRDefault="00BB0ECC" w:rsidP="00D938FB">
            <w:pPr>
              <w:spacing w:before="120" w:after="120"/>
              <w:rPr>
                <w:b/>
              </w:rPr>
            </w:pPr>
          </w:p>
          <w:p w:rsidR="00BB0ECC" w:rsidRDefault="00BB0ECC" w:rsidP="00D938FB">
            <w:pPr>
              <w:spacing w:before="120" w:after="120"/>
              <w:rPr>
                <w:b/>
              </w:rPr>
            </w:pPr>
          </w:p>
          <w:p w:rsidR="00BB0ECC" w:rsidRDefault="00BB0ECC" w:rsidP="00D938FB">
            <w:pPr>
              <w:spacing w:before="120" w:after="120"/>
              <w:rPr>
                <w:b/>
              </w:rPr>
            </w:pPr>
          </w:p>
          <w:p w:rsidR="00BB0ECC" w:rsidRDefault="00BB0ECC" w:rsidP="00D938FB">
            <w:pPr>
              <w:spacing w:before="120" w:after="120"/>
              <w:rPr>
                <w:b/>
              </w:rPr>
            </w:pPr>
          </w:p>
          <w:p w:rsidR="00F44012" w:rsidRPr="00BB0ECC" w:rsidRDefault="00F44012" w:rsidP="00D938FB">
            <w:pPr>
              <w:spacing w:before="120" w:after="120"/>
              <w:rPr>
                <w:b/>
              </w:rPr>
            </w:pPr>
          </w:p>
          <w:p w:rsidR="00F44012" w:rsidRDefault="00F44012" w:rsidP="00D938FB">
            <w:pPr>
              <w:spacing w:before="120" w:after="120"/>
            </w:pPr>
          </w:p>
        </w:tc>
      </w:tr>
      <w:tr w:rsidR="00B95D41" w:rsidTr="00920A9F">
        <w:trPr>
          <w:trHeight w:val="9791"/>
        </w:trPr>
        <w:tc>
          <w:tcPr>
            <w:tcW w:w="9990" w:type="dxa"/>
            <w:gridSpan w:val="5"/>
          </w:tcPr>
          <w:p w:rsidR="00175F42" w:rsidRPr="002F5994" w:rsidRDefault="00A7249F" w:rsidP="00175F42">
            <w:pPr>
              <w:spacing w:before="120" w:after="120"/>
              <w:rPr>
                <w:b/>
              </w:rPr>
            </w:pPr>
            <w:r>
              <w:rPr>
                <w:b/>
              </w:rPr>
              <w:t>3.2.</w:t>
            </w:r>
            <w:r w:rsidR="00F3184B">
              <w:rPr>
                <w:b/>
              </w:rPr>
              <w:t>10</w:t>
            </w:r>
            <w:r w:rsidR="00175F42" w:rsidRPr="002F5994">
              <w:rPr>
                <w:b/>
              </w:rPr>
              <w:t xml:space="preserve"> a) </w:t>
            </w:r>
            <w:r w:rsidR="00175F42">
              <w:rPr>
                <w:b/>
              </w:rPr>
              <w:t>Indicate the</w:t>
            </w:r>
            <w:r w:rsidR="00175F42" w:rsidRPr="002F5994">
              <w:rPr>
                <w:b/>
              </w:rPr>
              <w:t xml:space="preserve"> preferred quantity of biosolids to be </w:t>
            </w:r>
            <w:r w:rsidR="00DA6964">
              <w:rPr>
                <w:b/>
              </w:rPr>
              <w:t>applied per season:</w:t>
            </w:r>
          </w:p>
          <w:p w:rsidR="00175F42" w:rsidRDefault="00175F42" w:rsidP="00175F42">
            <w:pPr>
              <w:spacing w:before="120" w:after="120"/>
            </w:pPr>
          </w:p>
          <w:p w:rsidR="00175F42" w:rsidRDefault="00175F42" w:rsidP="00175F42">
            <w:pPr>
              <w:spacing w:before="120" w:after="120"/>
            </w:pPr>
          </w:p>
          <w:p w:rsidR="00175F42" w:rsidRDefault="00175F42" w:rsidP="00175F42">
            <w:pPr>
              <w:spacing w:before="120" w:after="120"/>
            </w:pPr>
          </w:p>
          <w:p w:rsidR="00B954E3" w:rsidRDefault="00B954E3" w:rsidP="00175F42">
            <w:pPr>
              <w:spacing w:before="120" w:after="120"/>
            </w:pPr>
          </w:p>
          <w:p w:rsidR="00B954E3" w:rsidRDefault="00B954E3" w:rsidP="00175F42">
            <w:pPr>
              <w:spacing w:before="120" w:after="120"/>
            </w:pPr>
          </w:p>
          <w:p w:rsidR="00175F42" w:rsidRDefault="00175F42" w:rsidP="00175F42">
            <w:pPr>
              <w:spacing w:before="120" w:after="120"/>
            </w:pPr>
          </w:p>
          <w:p w:rsidR="00C2197A" w:rsidRDefault="00C2197A" w:rsidP="00175F42">
            <w:pPr>
              <w:spacing w:before="120" w:after="120"/>
            </w:pPr>
          </w:p>
          <w:p w:rsidR="00175F42" w:rsidRDefault="00175F42" w:rsidP="00175F42">
            <w:pPr>
              <w:spacing w:before="120" w:after="120"/>
              <w:rPr>
                <w:b/>
              </w:rPr>
            </w:pPr>
            <w:r w:rsidRPr="002F5994">
              <w:rPr>
                <w:b/>
              </w:rPr>
              <w:t xml:space="preserve">b) </w:t>
            </w:r>
            <w:r w:rsidR="00626EF6">
              <w:rPr>
                <w:b/>
              </w:rPr>
              <w:t>Indicate the preferred qua</w:t>
            </w:r>
            <w:r w:rsidR="00C2197A">
              <w:rPr>
                <w:b/>
              </w:rPr>
              <w:t xml:space="preserve">ntity of biosolids to be stored per year: </w:t>
            </w:r>
            <w:r w:rsidR="00626EF6">
              <w:rPr>
                <w:b/>
              </w:rPr>
              <w:t xml:space="preserve"> </w:t>
            </w:r>
          </w:p>
          <w:p w:rsidR="00175F42" w:rsidRDefault="00175F42" w:rsidP="00175F42">
            <w:pPr>
              <w:spacing w:before="120" w:after="120"/>
              <w:rPr>
                <w:b/>
              </w:rPr>
            </w:pPr>
          </w:p>
          <w:p w:rsidR="00B95D41" w:rsidRDefault="00B95D41" w:rsidP="00C2197A">
            <w:pPr>
              <w:spacing w:before="120" w:after="120"/>
              <w:rPr>
                <w:b/>
              </w:rPr>
            </w:pPr>
          </w:p>
          <w:p w:rsidR="00B954E3" w:rsidRDefault="00B954E3" w:rsidP="00C2197A">
            <w:pPr>
              <w:spacing w:before="120" w:after="120"/>
              <w:rPr>
                <w:b/>
              </w:rPr>
            </w:pPr>
          </w:p>
          <w:p w:rsidR="00B954E3" w:rsidRDefault="00B954E3" w:rsidP="00C2197A">
            <w:pPr>
              <w:spacing w:before="120" w:after="120"/>
              <w:rPr>
                <w:b/>
              </w:rPr>
            </w:pPr>
          </w:p>
          <w:p w:rsidR="00B954E3" w:rsidRDefault="00B954E3" w:rsidP="00C2197A">
            <w:pPr>
              <w:spacing w:before="120" w:after="120"/>
              <w:rPr>
                <w:b/>
              </w:rPr>
            </w:pPr>
          </w:p>
          <w:p w:rsidR="00B954E3" w:rsidRDefault="00B954E3" w:rsidP="00C2197A">
            <w:pPr>
              <w:spacing w:before="120" w:after="120"/>
              <w:rPr>
                <w:b/>
              </w:rPr>
            </w:pPr>
          </w:p>
          <w:p w:rsidR="002C5607" w:rsidRDefault="002C5607" w:rsidP="00C2197A">
            <w:pPr>
              <w:spacing w:before="120" w:after="120"/>
              <w:rPr>
                <w:b/>
              </w:rPr>
            </w:pPr>
          </w:p>
          <w:p w:rsidR="00255825" w:rsidRDefault="00255825" w:rsidP="00C2197A">
            <w:pPr>
              <w:spacing w:before="120" w:after="120"/>
              <w:rPr>
                <w:b/>
              </w:rPr>
            </w:pPr>
          </w:p>
          <w:p w:rsidR="002C5607" w:rsidRDefault="002C5607" w:rsidP="00C2197A">
            <w:pPr>
              <w:spacing w:before="120" w:after="120"/>
              <w:rPr>
                <w:b/>
              </w:rPr>
            </w:pPr>
            <w:r w:rsidRPr="006B0AFD">
              <w:rPr>
                <w:b/>
              </w:rPr>
              <w:t xml:space="preserve">c) </w:t>
            </w:r>
            <w:r w:rsidR="00AB2360" w:rsidRPr="006B0AFD">
              <w:rPr>
                <w:b/>
              </w:rPr>
              <w:t>Indicate the</w:t>
            </w:r>
            <w:r w:rsidR="006B0AFD" w:rsidRPr="006B0AFD">
              <w:rPr>
                <w:b/>
              </w:rPr>
              <w:t xml:space="preserve"> estimated capacity and foot</w:t>
            </w:r>
            <w:r w:rsidRPr="006B0AFD">
              <w:rPr>
                <w:b/>
              </w:rPr>
              <w:t>print of the storage fac</w:t>
            </w:r>
            <w:r w:rsidR="00AB2360" w:rsidRPr="006B0AFD">
              <w:rPr>
                <w:b/>
              </w:rPr>
              <w:t>ility:</w:t>
            </w:r>
          </w:p>
          <w:p w:rsidR="00255825" w:rsidRDefault="00255825" w:rsidP="00C2197A">
            <w:pPr>
              <w:spacing w:before="120" w:after="120"/>
              <w:rPr>
                <w:b/>
              </w:rPr>
            </w:pPr>
          </w:p>
          <w:p w:rsidR="00255825" w:rsidRDefault="00255825" w:rsidP="00C2197A">
            <w:pPr>
              <w:spacing w:before="120" w:after="120"/>
              <w:rPr>
                <w:b/>
              </w:rPr>
            </w:pPr>
          </w:p>
          <w:p w:rsidR="00255825" w:rsidRDefault="00255825" w:rsidP="00C2197A">
            <w:pPr>
              <w:spacing w:before="120" w:after="120"/>
              <w:rPr>
                <w:b/>
              </w:rPr>
            </w:pPr>
          </w:p>
          <w:p w:rsidR="00255825" w:rsidRPr="008E4CE3" w:rsidRDefault="00255825" w:rsidP="00C2197A">
            <w:pPr>
              <w:spacing w:before="120" w:after="120"/>
              <w:rPr>
                <w:b/>
              </w:rPr>
            </w:pPr>
          </w:p>
        </w:tc>
      </w:tr>
      <w:tr w:rsidR="006D1A4B" w:rsidTr="00920A9F">
        <w:trPr>
          <w:trHeight w:val="5300"/>
        </w:trPr>
        <w:tc>
          <w:tcPr>
            <w:tcW w:w="9990" w:type="dxa"/>
            <w:gridSpan w:val="5"/>
          </w:tcPr>
          <w:p w:rsidR="00C2197A" w:rsidRPr="00833C97" w:rsidRDefault="00F3184B" w:rsidP="00C2197A">
            <w:pPr>
              <w:spacing w:before="120" w:after="120"/>
              <w:rPr>
                <w:b/>
              </w:rPr>
            </w:pPr>
            <w:r w:rsidRPr="00833C97">
              <w:rPr>
                <w:b/>
              </w:rPr>
              <w:lastRenderedPageBreak/>
              <w:t xml:space="preserve">3.2.11 </w:t>
            </w:r>
            <w:r w:rsidR="00C2197A" w:rsidRPr="00833C97">
              <w:rPr>
                <w:b/>
              </w:rPr>
              <w:t xml:space="preserve">Indicate the approximate amount of biosolids to be applied </w:t>
            </w:r>
            <w:r w:rsidR="00242E0F" w:rsidRPr="00833C97">
              <w:rPr>
                <w:b/>
              </w:rPr>
              <w:t xml:space="preserve">and stored </w:t>
            </w:r>
            <w:r w:rsidR="00C2197A" w:rsidRPr="00833C97">
              <w:rPr>
                <w:b/>
              </w:rPr>
              <w:t>during the following time periods</w:t>
            </w:r>
            <w:r w:rsidR="001F637B" w:rsidRPr="00833C97">
              <w:rPr>
                <w:b/>
              </w:rPr>
              <w:t xml:space="preserve"> for Option B</w:t>
            </w:r>
            <w:r w:rsidR="00C2197A" w:rsidRPr="00833C97">
              <w:rPr>
                <w:b/>
              </w:rPr>
              <w:t xml:space="preserve">: </w:t>
            </w:r>
          </w:p>
          <w:p w:rsidR="00C2197A" w:rsidRPr="00833C97" w:rsidRDefault="00C2197A" w:rsidP="00C2197A">
            <w:pPr>
              <w:spacing w:before="120" w:after="120"/>
              <w:rPr>
                <w:b/>
              </w:rPr>
            </w:pPr>
            <w:r w:rsidRPr="00833C97">
              <w:rPr>
                <w:b/>
              </w:rPr>
              <w:t xml:space="preserve">a) Spring (before </w:t>
            </w:r>
            <w:r w:rsidR="009F5E0E" w:rsidRPr="00833C97">
              <w:rPr>
                <w:b/>
              </w:rPr>
              <w:t xml:space="preserve">crop </w:t>
            </w:r>
            <w:r w:rsidRPr="00833C97">
              <w:rPr>
                <w:b/>
              </w:rPr>
              <w:t xml:space="preserve">planting) </w:t>
            </w:r>
          </w:p>
          <w:p w:rsidR="00C2197A" w:rsidRPr="00833C97" w:rsidRDefault="00242E0F" w:rsidP="00C2197A">
            <w:pPr>
              <w:spacing w:before="120" w:after="120"/>
              <w:rPr>
                <w:b/>
              </w:rPr>
            </w:pPr>
            <w:r w:rsidRPr="00833C97">
              <w:rPr>
                <w:b/>
              </w:rPr>
              <w:t xml:space="preserve">Applied: </w:t>
            </w:r>
          </w:p>
          <w:p w:rsidR="00C2197A" w:rsidRPr="00833C97" w:rsidRDefault="00C2197A" w:rsidP="00C2197A">
            <w:pPr>
              <w:spacing w:before="120" w:after="120"/>
              <w:rPr>
                <w:b/>
              </w:rPr>
            </w:pPr>
          </w:p>
          <w:p w:rsidR="00C2197A" w:rsidRPr="00833C97" w:rsidRDefault="00242E0F" w:rsidP="00C2197A">
            <w:pPr>
              <w:spacing w:before="120" w:after="120"/>
              <w:rPr>
                <w:b/>
              </w:rPr>
            </w:pPr>
            <w:r w:rsidRPr="00833C97">
              <w:rPr>
                <w:b/>
              </w:rPr>
              <w:t xml:space="preserve">Stored:  </w:t>
            </w:r>
          </w:p>
          <w:p w:rsidR="00C2197A" w:rsidRPr="00833C97" w:rsidRDefault="00C2197A" w:rsidP="00C2197A">
            <w:pPr>
              <w:spacing w:before="120" w:after="120"/>
              <w:rPr>
                <w:b/>
              </w:rPr>
            </w:pPr>
          </w:p>
          <w:p w:rsidR="00C2197A" w:rsidRPr="00833C97" w:rsidRDefault="00C2197A" w:rsidP="00C2197A">
            <w:pPr>
              <w:spacing w:before="120" w:after="120"/>
              <w:rPr>
                <w:b/>
              </w:rPr>
            </w:pPr>
            <w:r w:rsidRPr="00833C97">
              <w:rPr>
                <w:b/>
              </w:rPr>
              <w:t xml:space="preserve">b) Summer (during </w:t>
            </w:r>
            <w:r w:rsidR="009F5E0E" w:rsidRPr="00833C97">
              <w:rPr>
                <w:b/>
              </w:rPr>
              <w:t xml:space="preserve">crop </w:t>
            </w:r>
            <w:r w:rsidRPr="00833C97">
              <w:rPr>
                <w:b/>
              </w:rPr>
              <w:t>growing season)</w:t>
            </w:r>
          </w:p>
          <w:p w:rsidR="00C2197A" w:rsidRPr="00833C97" w:rsidRDefault="00242E0F" w:rsidP="00C2197A">
            <w:pPr>
              <w:spacing w:before="120" w:after="120"/>
              <w:rPr>
                <w:b/>
              </w:rPr>
            </w:pPr>
            <w:r w:rsidRPr="00833C97">
              <w:rPr>
                <w:b/>
              </w:rPr>
              <w:t xml:space="preserve">Applied:  </w:t>
            </w:r>
          </w:p>
          <w:p w:rsidR="00C2197A" w:rsidRPr="00833C97" w:rsidRDefault="00C2197A" w:rsidP="00C2197A">
            <w:pPr>
              <w:spacing w:before="120" w:after="120"/>
              <w:rPr>
                <w:b/>
              </w:rPr>
            </w:pPr>
          </w:p>
          <w:p w:rsidR="00C2197A" w:rsidRPr="00833C97" w:rsidRDefault="00242E0F" w:rsidP="00C2197A">
            <w:pPr>
              <w:spacing w:before="120" w:after="120"/>
              <w:rPr>
                <w:b/>
              </w:rPr>
            </w:pPr>
            <w:r w:rsidRPr="00833C97">
              <w:rPr>
                <w:b/>
              </w:rPr>
              <w:t xml:space="preserve">Stored:  </w:t>
            </w:r>
          </w:p>
          <w:p w:rsidR="00242E0F" w:rsidRPr="00833C97" w:rsidRDefault="00242E0F" w:rsidP="00C2197A">
            <w:pPr>
              <w:spacing w:before="120" w:after="120"/>
              <w:rPr>
                <w:b/>
              </w:rPr>
            </w:pPr>
          </w:p>
          <w:p w:rsidR="00C2197A" w:rsidRPr="00833C97" w:rsidRDefault="00C2197A" w:rsidP="00C2197A">
            <w:pPr>
              <w:spacing w:before="120" w:after="120"/>
              <w:rPr>
                <w:b/>
              </w:rPr>
            </w:pPr>
            <w:r w:rsidRPr="00833C97">
              <w:rPr>
                <w:b/>
              </w:rPr>
              <w:t xml:space="preserve">c) Fall (after </w:t>
            </w:r>
            <w:r w:rsidR="009F5E0E" w:rsidRPr="00833C97">
              <w:rPr>
                <w:b/>
              </w:rPr>
              <w:t xml:space="preserve">crop </w:t>
            </w:r>
            <w:r w:rsidRPr="00833C97">
              <w:rPr>
                <w:b/>
              </w:rPr>
              <w:t>harvesting)</w:t>
            </w:r>
          </w:p>
          <w:p w:rsidR="00C2197A" w:rsidRPr="00833C97" w:rsidRDefault="00242E0F" w:rsidP="00C2197A">
            <w:pPr>
              <w:spacing w:before="120" w:after="120"/>
              <w:rPr>
                <w:b/>
              </w:rPr>
            </w:pPr>
            <w:r w:rsidRPr="00833C97">
              <w:rPr>
                <w:b/>
              </w:rPr>
              <w:t xml:space="preserve">Applied: </w:t>
            </w:r>
          </w:p>
          <w:p w:rsidR="00C2197A" w:rsidRPr="00833C97" w:rsidRDefault="00C2197A" w:rsidP="00C2197A">
            <w:pPr>
              <w:spacing w:before="120" w:after="120"/>
              <w:rPr>
                <w:b/>
              </w:rPr>
            </w:pPr>
          </w:p>
          <w:p w:rsidR="00C2197A" w:rsidRPr="00833C97" w:rsidRDefault="00242E0F" w:rsidP="00C2197A">
            <w:pPr>
              <w:spacing w:before="120" w:after="120"/>
              <w:rPr>
                <w:b/>
              </w:rPr>
            </w:pPr>
            <w:r w:rsidRPr="00833C97">
              <w:rPr>
                <w:b/>
              </w:rPr>
              <w:t xml:space="preserve">Stored:  </w:t>
            </w:r>
          </w:p>
          <w:p w:rsidR="00320E65" w:rsidRPr="00833C97" w:rsidRDefault="00320E65" w:rsidP="00C2197A">
            <w:pPr>
              <w:spacing w:before="120" w:after="120"/>
              <w:rPr>
                <w:b/>
              </w:rPr>
            </w:pPr>
          </w:p>
          <w:p w:rsidR="00320E65" w:rsidRPr="00833C97" w:rsidRDefault="00320E65" w:rsidP="00C2197A">
            <w:pPr>
              <w:spacing w:before="120" w:after="120"/>
              <w:rPr>
                <w:b/>
              </w:rPr>
            </w:pPr>
            <w:r w:rsidRPr="00833C97">
              <w:rPr>
                <w:b/>
              </w:rPr>
              <w:t>d) Winter (non-application season)</w:t>
            </w:r>
          </w:p>
          <w:p w:rsidR="00320E65" w:rsidRPr="00833C97" w:rsidRDefault="00320E65" w:rsidP="00C2197A">
            <w:pPr>
              <w:spacing w:before="120" w:after="120"/>
              <w:rPr>
                <w:b/>
              </w:rPr>
            </w:pPr>
            <w:r w:rsidRPr="00833C97">
              <w:rPr>
                <w:b/>
              </w:rPr>
              <w:t xml:space="preserve">Applied: </w:t>
            </w:r>
            <w:r w:rsidR="00833C97" w:rsidRPr="00833C97">
              <w:rPr>
                <w:b/>
              </w:rPr>
              <w:t>0 Tonnes</w:t>
            </w:r>
          </w:p>
          <w:p w:rsidR="00320E65" w:rsidRPr="00833C97" w:rsidRDefault="00320E65" w:rsidP="00C2197A">
            <w:pPr>
              <w:spacing w:before="120" w:after="120"/>
              <w:rPr>
                <w:b/>
              </w:rPr>
            </w:pPr>
          </w:p>
          <w:p w:rsidR="00320E65" w:rsidRPr="00833C97" w:rsidRDefault="00320E65" w:rsidP="00C2197A">
            <w:pPr>
              <w:spacing w:before="120" w:after="120"/>
              <w:rPr>
                <w:b/>
              </w:rPr>
            </w:pPr>
            <w:r w:rsidRPr="00833C97">
              <w:rPr>
                <w:b/>
              </w:rPr>
              <w:t xml:space="preserve">Stored: </w:t>
            </w:r>
          </w:p>
          <w:p w:rsidR="00C2197A" w:rsidRDefault="00C2197A" w:rsidP="00C2197A">
            <w:pPr>
              <w:spacing w:before="120" w:after="120"/>
              <w:rPr>
                <w:b/>
                <w:highlight w:val="yellow"/>
              </w:rPr>
            </w:pPr>
          </w:p>
          <w:p w:rsidR="006D1A4B" w:rsidRDefault="006D1A4B" w:rsidP="005B14EA">
            <w:pPr>
              <w:spacing w:before="120" w:after="120"/>
              <w:rPr>
                <w:b/>
              </w:rPr>
            </w:pPr>
          </w:p>
        </w:tc>
      </w:tr>
      <w:tr w:rsidR="0090487A" w:rsidTr="00920A9F">
        <w:trPr>
          <w:trHeight w:val="4976"/>
        </w:trPr>
        <w:tc>
          <w:tcPr>
            <w:tcW w:w="9990" w:type="dxa"/>
            <w:gridSpan w:val="5"/>
          </w:tcPr>
          <w:p w:rsidR="005B14EA" w:rsidRPr="008E4CE3" w:rsidRDefault="00A7249F" w:rsidP="005B14EA">
            <w:pPr>
              <w:spacing w:before="120" w:after="120"/>
              <w:rPr>
                <w:b/>
              </w:rPr>
            </w:pPr>
            <w:r>
              <w:rPr>
                <w:b/>
              </w:rPr>
              <w:t>3.2.12</w:t>
            </w:r>
            <w:r w:rsidR="005B14EA" w:rsidRPr="008E4CE3">
              <w:rPr>
                <w:b/>
              </w:rPr>
              <w:t xml:space="preserve"> Provide an approximate range of costs for Option B: </w:t>
            </w:r>
          </w:p>
          <w:p w:rsidR="005B14EA" w:rsidRDefault="005B14EA" w:rsidP="005B14EA">
            <w:pPr>
              <w:spacing w:before="120" w:after="120"/>
            </w:pPr>
          </w:p>
          <w:p w:rsidR="005B14EA" w:rsidRDefault="00316955" w:rsidP="005B14EA">
            <w:pPr>
              <w:spacing w:before="120" w:after="120"/>
            </w:pPr>
            <w:r>
              <w:t xml:space="preserve">a) </w:t>
            </w:r>
            <w:r w:rsidR="005B14EA">
              <w:t>Approximate Cost / Wet Tonne for biosolids applied: __________________________________</w:t>
            </w:r>
            <w:r w:rsidR="00532595">
              <w:t>_____</w:t>
            </w:r>
          </w:p>
          <w:p w:rsidR="00C2197A" w:rsidRDefault="00C2197A" w:rsidP="005B14EA">
            <w:pPr>
              <w:spacing w:before="120" w:after="120"/>
            </w:pPr>
          </w:p>
          <w:p w:rsidR="005B14EA" w:rsidRDefault="005B14EA" w:rsidP="005B14EA">
            <w:pPr>
              <w:spacing w:before="120" w:after="120"/>
            </w:pPr>
          </w:p>
          <w:p w:rsidR="005B14EA" w:rsidRDefault="005B14EA" w:rsidP="005B14EA">
            <w:pPr>
              <w:spacing w:before="120" w:after="120"/>
            </w:pPr>
            <w:r>
              <w:t>Based on approximately ______________________</w:t>
            </w:r>
            <w:r w:rsidR="00532595">
              <w:t>______</w:t>
            </w:r>
            <w:r>
              <w:t xml:space="preserve"> wet tonnes of biosolids applied per season </w:t>
            </w:r>
          </w:p>
          <w:p w:rsidR="005B14EA" w:rsidRDefault="005B14EA" w:rsidP="005B14EA">
            <w:pPr>
              <w:spacing w:before="120" w:after="120"/>
            </w:pPr>
          </w:p>
          <w:p w:rsidR="00C2197A" w:rsidRDefault="00C2197A" w:rsidP="005B14EA">
            <w:pPr>
              <w:spacing w:before="120" w:after="120"/>
            </w:pPr>
          </w:p>
          <w:p w:rsidR="005B14EA" w:rsidRDefault="00316955" w:rsidP="005B14EA">
            <w:pPr>
              <w:spacing w:before="120" w:after="120"/>
            </w:pPr>
            <w:r>
              <w:t xml:space="preserve">b) </w:t>
            </w:r>
            <w:r w:rsidR="005B14EA">
              <w:t>Approximate Cost / Wet Tonne for biosolids stored: __________________________________</w:t>
            </w:r>
            <w:r w:rsidR="00532595">
              <w:t>_____</w:t>
            </w:r>
          </w:p>
          <w:p w:rsidR="005B14EA" w:rsidRDefault="005B14EA" w:rsidP="005B14EA">
            <w:pPr>
              <w:spacing w:before="120" w:after="120"/>
            </w:pPr>
          </w:p>
          <w:p w:rsidR="00C2197A" w:rsidRDefault="00C2197A" w:rsidP="005B14EA">
            <w:pPr>
              <w:spacing w:before="120" w:after="120"/>
            </w:pPr>
          </w:p>
          <w:p w:rsidR="005B14EA" w:rsidRDefault="005B14EA" w:rsidP="005B14EA">
            <w:pPr>
              <w:spacing w:before="120" w:after="120"/>
            </w:pPr>
            <w:r>
              <w:t>Based on approximately ______________________</w:t>
            </w:r>
            <w:r w:rsidR="00532595">
              <w:t>________</w:t>
            </w:r>
            <w:r>
              <w:t xml:space="preserve"> wet tonnes of biosolids stored </w:t>
            </w:r>
            <w:r w:rsidR="00121147">
              <w:t>per year</w:t>
            </w:r>
          </w:p>
          <w:p w:rsidR="0090487A" w:rsidRDefault="0090487A" w:rsidP="00316955">
            <w:pPr>
              <w:spacing w:before="120" w:after="120"/>
            </w:pPr>
          </w:p>
        </w:tc>
      </w:tr>
      <w:tr w:rsidR="00246BA9" w:rsidTr="00920A9F">
        <w:trPr>
          <w:trHeight w:val="4760"/>
        </w:trPr>
        <w:tc>
          <w:tcPr>
            <w:tcW w:w="9990" w:type="dxa"/>
            <w:gridSpan w:val="5"/>
            <w:tcBorders>
              <w:bottom w:val="single" w:sz="4" w:space="0" w:color="auto"/>
            </w:tcBorders>
          </w:tcPr>
          <w:p w:rsidR="00320E65" w:rsidRPr="00521B96" w:rsidRDefault="00320E65" w:rsidP="00320E65">
            <w:pPr>
              <w:spacing w:before="120" w:after="120"/>
              <w:rPr>
                <w:b/>
              </w:rPr>
            </w:pPr>
            <w:r w:rsidRPr="00521B96">
              <w:rPr>
                <w:b/>
              </w:rPr>
              <w:lastRenderedPageBreak/>
              <w:t xml:space="preserve">3.2.13 </w:t>
            </w:r>
            <w:r w:rsidR="00833C97" w:rsidRPr="00521B96">
              <w:rPr>
                <w:b/>
              </w:rPr>
              <w:t>The</w:t>
            </w:r>
            <w:r w:rsidR="00521B96">
              <w:rPr>
                <w:b/>
              </w:rPr>
              <w:t xml:space="preserve"> </w:t>
            </w:r>
            <w:r w:rsidR="00833C97" w:rsidRPr="00521B96">
              <w:rPr>
                <w:b/>
              </w:rPr>
              <w:t>b</w:t>
            </w:r>
            <w:r w:rsidR="00521B96">
              <w:rPr>
                <w:b/>
              </w:rPr>
              <w:t>iosolids</w:t>
            </w:r>
            <w:r w:rsidR="00833C97" w:rsidRPr="00521B96">
              <w:rPr>
                <w:b/>
              </w:rPr>
              <w:t xml:space="preserve"> may be considered </w:t>
            </w:r>
            <w:r w:rsidR="00521B96">
              <w:rPr>
                <w:b/>
              </w:rPr>
              <w:t xml:space="preserve">Class B with respect to pathogens </w:t>
            </w:r>
            <w:r w:rsidRPr="00521B96">
              <w:rPr>
                <w:b/>
              </w:rPr>
              <w:t xml:space="preserve">according to </w:t>
            </w:r>
            <w:r w:rsidR="00920A9F">
              <w:rPr>
                <w:b/>
              </w:rPr>
              <w:t xml:space="preserve">the </w:t>
            </w:r>
            <w:r w:rsidR="009F5E0E" w:rsidRPr="00521B96">
              <w:rPr>
                <w:b/>
              </w:rPr>
              <w:t>United State</w:t>
            </w:r>
            <w:r w:rsidR="00023FDE" w:rsidRPr="00521B96">
              <w:rPr>
                <w:b/>
              </w:rPr>
              <w:t>s Environmental Protection Agency</w:t>
            </w:r>
            <w:r w:rsidR="00521B96">
              <w:rPr>
                <w:b/>
              </w:rPr>
              <w:t xml:space="preserve"> guidelines, </w:t>
            </w:r>
            <w:r w:rsidRPr="00521B96">
              <w:rPr>
                <w:b/>
              </w:rPr>
              <w:t xml:space="preserve">until the new </w:t>
            </w:r>
            <w:r w:rsidR="00521B96">
              <w:rPr>
                <w:b/>
              </w:rPr>
              <w:t>sludge</w:t>
            </w:r>
            <w:r w:rsidRPr="00521B96">
              <w:rPr>
                <w:b/>
              </w:rPr>
              <w:t xml:space="preserve"> processing facilities are </w:t>
            </w:r>
            <w:r w:rsidR="00521B96">
              <w:rPr>
                <w:b/>
              </w:rPr>
              <w:t>constructed.</w:t>
            </w:r>
            <w:r w:rsidRPr="00521B96">
              <w:rPr>
                <w:b/>
              </w:rPr>
              <w:t xml:space="preserve"> </w:t>
            </w:r>
          </w:p>
          <w:p w:rsidR="00320E65" w:rsidRPr="00521B96" w:rsidRDefault="00320E65" w:rsidP="00320E65">
            <w:pPr>
              <w:spacing w:before="120" w:after="120"/>
              <w:rPr>
                <w:b/>
              </w:rPr>
            </w:pPr>
            <w:r w:rsidRPr="00521B96">
              <w:rPr>
                <w:b/>
              </w:rPr>
              <w:t>a) Describe the risks of storing Class B biosolids</w:t>
            </w:r>
            <w:r w:rsidR="00804861" w:rsidRPr="00521B96">
              <w:rPr>
                <w:b/>
              </w:rPr>
              <w:t>:</w:t>
            </w:r>
          </w:p>
          <w:p w:rsidR="00320E65" w:rsidRPr="00521B96" w:rsidRDefault="00320E65" w:rsidP="00320E65">
            <w:pPr>
              <w:spacing w:before="120" w:after="120"/>
              <w:rPr>
                <w:b/>
              </w:rPr>
            </w:pPr>
          </w:p>
          <w:p w:rsidR="00320E65" w:rsidRPr="00521B96" w:rsidRDefault="00320E65" w:rsidP="00320E65">
            <w:pPr>
              <w:spacing w:before="120" w:after="120"/>
              <w:rPr>
                <w:b/>
              </w:rPr>
            </w:pPr>
          </w:p>
          <w:p w:rsidR="00320E65" w:rsidRPr="00521B96" w:rsidRDefault="00320E65" w:rsidP="00320E65">
            <w:pPr>
              <w:spacing w:before="120" w:after="120"/>
              <w:rPr>
                <w:b/>
              </w:rPr>
            </w:pPr>
          </w:p>
          <w:p w:rsidR="00320E65" w:rsidRPr="00521B96" w:rsidRDefault="00320E65" w:rsidP="00320E65">
            <w:pPr>
              <w:spacing w:before="120" w:after="120"/>
              <w:rPr>
                <w:b/>
              </w:rPr>
            </w:pPr>
          </w:p>
          <w:p w:rsidR="00320E65" w:rsidRDefault="00320E65" w:rsidP="00320E65">
            <w:pPr>
              <w:spacing w:before="120" w:after="120"/>
              <w:rPr>
                <w:b/>
              </w:rPr>
            </w:pPr>
            <w:r w:rsidRPr="00521B96">
              <w:rPr>
                <w:b/>
              </w:rPr>
              <w:t>b) Describe the Respondent’s experience in storing Class B biosolids:</w:t>
            </w:r>
          </w:p>
          <w:p w:rsidR="00246BA9" w:rsidRDefault="00246BA9" w:rsidP="00320E65">
            <w:pPr>
              <w:spacing w:before="120" w:after="120"/>
              <w:rPr>
                <w:b/>
              </w:rPr>
            </w:pPr>
          </w:p>
        </w:tc>
      </w:tr>
      <w:tr w:rsidR="0090487A" w:rsidTr="00920A9F">
        <w:trPr>
          <w:trHeight w:val="4220"/>
        </w:trPr>
        <w:tc>
          <w:tcPr>
            <w:tcW w:w="9990" w:type="dxa"/>
            <w:gridSpan w:val="5"/>
            <w:tcBorders>
              <w:bottom w:val="single" w:sz="4" w:space="0" w:color="auto"/>
            </w:tcBorders>
          </w:tcPr>
          <w:p w:rsidR="002A6189" w:rsidRDefault="00A7249F" w:rsidP="00316955">
            <w:pPr>
              <w:spacing w:before="120" w:after="120"/>
            </w:pPr>
            <w:r>
              <w:rPr>
                <w:b/>
              </w:rPr>
              <w:t>3.2.1</w:t>
            </w:r>
            <w:r w:rsidR="00F3184B">
              <w:rPr>
                <w:b/>
              </w:rPr>
              <w:t>4</w:t>
            </w:r>
            <w:r w:rsidR="002B65BE" w:rsidRPr="008E4CE3">
              <w:rPr>
                <w:b/>
              </w:rPr>
              <w:t xml:space="preserve"> Suggest modifications to Option B: </w:t>
            </w:r>
          </w:p>
          <w:p w:rsidR="0090487A" w:rsidRDefault="0090487A" w:rsidP="00316955">
            <w:pPr>
              <w:spacing w:before="120" w:after="120"/>
            </w:pPr>
          </w:p>
        </w:tc>
      </w:tr>
      <w:tr w:rsidR="0021352B" w:rsidTr="00920A9F">
        <w:trPr>
          <w:trHeight w:val="4040"/>
        </w:trPr>
        <w:tc>
          <w:tcPr>
            <w:tcW w:w="9990" w:type="dxa"/>
            <w:gridSpan w:val="5"/>
            <w:tcBorders>
              <w:bottom w:val="single" w:sz="4" w:space="0" w:color="auto"/>
            </w:tcBorders>
          </w:tcPr>
          <w:p w:rsidR="0021352B" w:rsidRPr="008E4CE3" w:rsidRDefault="00833C97" w:rsidP="00316955">
            <w:pPr>
              <w:spacing w:before="120" w:after="120"/>
              <w:rPr>
                <w:b/>
              </w:rPr>
            </w:pPr>
            <w:r>
              <w:rPr>
                <w:b/>
              </w:rPr>
              <w:t>3.2</w:t>
            </w:r>
            <w:r w:rsidR="00A7249F">
              <w:rPr>
                <w:b/>
              </w:rPr>
              <w:t>.1</w:t>
            </w:r>
            <w:r w:rsidR="00F3184B">
              <w:rPr>
                <w:b/>
              </w:rPr>
              <w:t>5</w:t>
            </w:r>
            <w:r w:rsidR="00B4329A" w:rsidRPr="0032716C">
              <w:rPr>
                <w:b/>
              </w:rPr>
              <w:t xml:space="preserve"> </w:t>
            </w:r>
            <w:r w:rsidR="00B4329A">
              <w:rPr>
                <w:b/>
              </w:rPr>
              <w:t xml:space="preserve">Indicate the amount of lead time required prior to starting land application program </w:t>
            </w:r>
            <w:r w:rsidR="00353741">
              <w:rPr>
                <w:b/>
              </w:rPr>
              <w:t>described in Option B:</w:t>
            </w:r>
          </w:p>
        </w:tc>
      </w:tr>
      <w:tr w:rsidR="0090487A" w:rsidTr="00920A9F">
        <w:trPr>
          <w:trHeight w:val="440"/>
        </w:trPr>
        <w:tc>
          <w:tcPr>
            <w:tcW w:w="99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0487A" w:rsidRDefault="0090487A" w:rsidP="001D372C">
            <w:pPr>
              <w:spacing w:before="120" w:after="120"/>
            </w:pPr>
            <w:r>
              <w:rPr>
                <w:b/>
              </w:rPr>
              <w:lastRenderedPageBreak/>
              <w:t>3.3 Preferred Option</w:t>
            </w:r>
          </w:p>
        </w:tc>
      </w:tr>
      <w:tr w:rsidR="0090487A" w:rsidTr="00920A9F">
        <w:trPr>
          <w:trHeight w:val="3743"/>
        </w:trPr>
        <w:tc>
          <w:tcPr>
            <w:tcW w:w="9990" w:type="dxa"/>
            <w:gridSpan w:val="5"/>
            <w:tcBorders>
              <w:top w:val="single" w:sz="4" w:space="0" w:color="auto"/>
              <w:bottom w:val="single" w:sz="4" w:space="0" w:color="auto"/>
            </w:tcBorders>
          </w:tcPr>
          <w:p w:rsidR="0090487A" w:rsidRPr="006F04B1" w:rsidRDefault="0090487A" w:rsidP="00EF66C7">
            <w:pPr>
              <w:spacing w:before="120" w:after="120"/>
              <w:rPr>
                <w:b/>
              </w:rPr>
            </w:pPr>
            <w:r w:rsidRPr="006F04B1">
              <w:rPr>
                <w:b/>
              </w:rPr>
              <w:t>3.3.1 Indicate the preferred Option</w:t>
            </w:r>
            <w:r w:rsidR="0015327B" w:rsidRPr="006F04B1">
              <w:rPr>
                <w:b/>
              </w:rPr>
              <w:t xml:space="preserve"> for biosolids land application</w:t>
            </w:r>
            <w:r w:rsidRPr="006F04B1">
              <w:rPr>
                <w:b/>
              </w:rPr>
              <w:t xml:space="preserve">:  </w:t>
            </w:r>
          </w:p>
        </w:tc>
      </w:tr>
      <w:tr w:rsidR="0090487A" w:rsidTr="00920A9F">
        <w:trPr>
          <w:trHeight w:val="503"/>
        </w:trPr>
        <w:tc>
          <w:tcPr>
            <w:tcW w:w="9990" w:type="dxa"/>
            <w:gridSpan w:val="5"/>
            <w:shd w:val="clear" w:color="auto" w:fill="BFBFBF" w:themeFill="background1" w:themeFillShade="BF"/>
          </w:tcPr>
          <w:p w:rsidR="0090487A" w:rsidRPr="0047231C" w:rsidRDefault="0090487A" w:rsidP="00EF66C7">
            <w:pPr>
              <w:spacing w:before="120" w:after="120"/>
              <w:rPr>
                <w:b/>
              </w:rPr>
            </w:pPr>
            <w:r w:rsidRPr="0047231C">
              <w:rPr>
                <w:b/>
              </w:rPr>
              <w:t>3.4 Alternative Options</w:t>
            </w:r>
          </w:p>
        </w:tc>
      </w:tr>
      <w:tr w:rsidR="0090487A" w:rsidTr="00920A9F">
        <w:trPr>
          <w:trHeight w:val="3977"/>
        </w:trPr>
        <w:tc>
          <w:tcPr>
            <w:tcW w:w="9990" w:type="dxa"/>
            <w:gridSpan w:val="5"/>
            <w:tcBorders>
              <w:bottom w:val="single" w:sz="4" w:space="0" w:color="auto"/>
            </w:tcBorders>
          </w:tcPr>
          <w:p w:rsidR="0090487A" w:rsidRPr="006F04B1" w:rsidRDefault="0090487A" w:rsidP="00EF66C7">
            <w:pPr>
              <w:spacing w:before="120" w:after="120"/>
              <w:rPr>
                <w:b/>
              </w:rPr>
            </w:pPr>
            <w:r w:rsidRPr="006F04B1">
              <w:rPr>
                <w:b/>
              </w:rPr>
              <w:t>3.4.1 If desired, propose an Alternative Option</w:t>
            </w:r>
            <w:r w:rsidR="0015327B" w:rsidRPr="006F04B1">
              <w:rPr>
                <w:b/>
              </w:rPr>
              <w:t xml:space="preserve"> for biosolids land application:</w:t>
            </w:r>
          </w:p>
          <w:p w:rsidR="0090487A" w:rsidRDefault="0090487A" w:rsidP="001D372C">
            <w:pPr>
              <w:spacing w:before="120" w:after="120"/>
            </w:pPr>
          </w:p>
        </w:tc>
      </w:tr>
      <w:tr w:rsidR="0090487A" w:rsidTr="00920A9F">
        <w:trPr>
          <w:trHeight w:val="530"/>
        </w:trPr>
        <w:tc>
          <w:tcPr>
            <w:tcW w:w="9990" w:type="dxa"/>
            <w:gridSpan w:val="5"/>
            <w:shd w:val="clear" w:color="auto" w:fill="BFBFBF" w:themeFill="background1" w:themeFillShade="BF"/>
          </w:tcPr>
          <w:p w:rsidR="0090487A" w:rsidRPr="0047231C" w:rsidRDefault="0090487A" w:rsidP="00EF66C7">
            <w:pPr>
              <w:spacing w:before="120" w:after="120"/>
              <w:rPr>
                <w:b/>
              </w:rPr>
            </w:pPr>
            <w:r w:rsidRPr="0047231C">
              <w:rPr>
                <w:b/>
              </w:rPr>
              <w:t>3.5 Other Information</w:t>
            </w:r>
          </w:p>
        </w:tc>
      </w:tr>
      <w:tr w:rsidR="0090487A" w:rsidTr="00920A9F">
        <w:trPr>
          <w:trHeight w:val="3806"/>
        </w:trPr>
        <w:tc>
          <w:tcPr>
            <w:tcW w:w="9990" w:type="dxa"/>
            <w:gridSpan w:val="5"/>
          </w:tcPr>
          <w:p w:rsidR="0090487A" w:rsidRPr="006F04B1" w:rsidRDefault="009570F0" w:rsidP="00EF66C7">
            <w:pPr>
              <w:spacing w:before="120" w:after="120"/>
              <w:rPr>
                <w:b/>
              </w:rPr>
            </w:pPr>
            <w:r w:rsidRPr="006F04B1">
              <w:rPr>
                <w:b/>
              </w:rPr>
              <w:t xml:space="preserve">3.5.1 </w:t>
            </w:r>
            <w:r w:rsidR="0090487A" w:rsidRPr="006F04B1">
              <w:rPr>
                <w:b/>
              </w:rPr>
              <w:t>Provide any other information or comments which may be useful to the City regarding the bios</w:t>
            </w:r>
            <w:r w:rsidR="00C77C6C">
              <w:rPr>
                <w:b/>
              </w:rPr>
              <w:t>olids land application pr</w:t>
            </w:r>
            <w:r w:rsidR="00920A9F">
              <w:rPr>
                <w:b/>
              </w:rPr>
              <w:t>ogram:</w:t>
            </w:r>
          </w:p>
        </w:tc>
      </w:tr>
      <w:tr w:rsidR="0052296F" w:rsidTr="00920A9F">
        <w:trPr>
          <w:gridBefore w:val="1"/>
          <w:gridAfter w:val="1"/>
          <w:wBefore w:w="72" w:type="dxa"/>
          <w:wAfter w:w="342" w:type="dxa"/>
          <w:trHeight w:val="440"/>
        </w:trPr>
        <w:tc>
          <w:tcPr>
            <w:tcW w:w="9576" w:type="dxa"/>
            <w:gridSpan w:val="3"/>
            <w:shd w:val="clear" w:color="auto" w:fill="BFBFBF" w:themeFill="background1" w:themeFillShade="BF"/>
          </w:tcPr>
          <w:p w:rsidR="0052296F" w:rsidRPr="0052296F" w:rsidRDefault="0052296F" w:rsidP="0052296F">
            <w:pPr>
              <w:spacing w:before="120" w:after="120"/>
              <w:rPr>
                <w:b/>
              </w:rPr>
            </w:pPr>
            <w:r w:rsidRPr="0052296F">
              <w:rPr>
                <w:b/>
              </w:rPr>
              <w:lastRenderedPageBreak/>
              <w:t>Part 4: Risk Matrix</w:t>
            </w:r>
          </w:p>
        </w:tc>
      </w:tr>
      <w:tr w:rsidR="00373C6D" w:rsidTr="00920A9F">
        <w:trPr>
          <w:gridBefore w:val="1"/>
          <w:gridAfter w:val="1"/>
          <w:wBefore w:w="72" w:type="dxa"/>
          <w:wAfter w:w="342" w:type="dxa"/>
          <w:trHeight w:val="360"/>
        </w:trPr>
        <w:tc>
          <w:tcPr>
            <w:tcW w:w="5508" w:type="dxa"/>
          </w:tcPr>
          <w:p w:rsidR="00373C6D" w:rsidRPr="0013733B" w:rsidRDefault="00C635FB" w:rsidP="00CA77EA">
            <w:pPr>
              <w:spacing w:before="60" w:after="60"/>
              <w:rPr>
                <w:b/>
              </w:rPr>
            </w:pPr>
            <w:r>
              <w:rPr>
                <w:b/>
              </w:rPr>
              <w:t xml:space="preserve">4.1 </w:t>
            </w:r>
            <w:r w:rsidR="00373C6D" w:rsidRPr="0013733B">
              <w:rPr>
                <w:b/>
              </w:rPr>
              <w:t>Responsibilities</w:t>
            </w:r>
            <w:r w:rsidR="0058391B">
              <w:rPr>
                <w:b/>
              </w:rPr>
              <w:t xml:space="preserve"> –</w:t>
            </w:r>
            <w:r>
              <w:rPr>
                <w:b/>
              </w:rPr>
              <w:t xml:space="preserve"> Option A</w:t>
            </w:r>
          </w:p>
        </w:tc>
        <w:tc>
          <w:tcPr>
            <w:tcW w:w="1980" w:type="dxa"/>
          </w:tcPr>
          <w:p w:rsidR="00373C6D" w:rsidRPr="0013733B" w:rsidRDefault="003342EF" w:rsidP="003342EF">
            <w:pPr>
              <w:spacing w:before="60" w:after="60"/>
              <w:jc w:val="center"/>
              <w:rPr>
                <w:b/>
              </w:rPr>
            </w:pPr>
            <w:r>
              <w:rPr>
                <w:b/>
              </w:rPr>
              <w:t>Contractor</w:t>
            </w:r>
          </w:p>
        </w:tc>
        <w:tc>
          <w:tcPr>
            <w:tcW w:w="2088" w:type="dxa"/>
          </w:tcPr>
          <w:p w:rsidR="00373C6D" w:rsidRPr="0013733B" w:rsidRDefault="00373C6D" w:rsidP="002139C7">
            <w:pPr>
              <w:spacing w:before="60" w:after="60"/>
              <w:jc w:val="center"/>
              <w:rPr>
                <w:b/>
              </w:rPr>
            </w:pPr>
            <w:r w:rsidRPr="0013733B">
              <w:rPr>
                <w:b/>
              </w:rPr>
              <w:t>City of Winnipeg</w:t>
            </w:r>
          </w:p>
        </w:tc>
      </w:tr>
      <w:tr w:rsidR="00C920E8" w:rsidTr="00920A9F">
        <w:trPr>
          <w:gridBefore w:val="1"/>
          <w:gridAfter w:val="1"/>
          <w:wBefore w:w="72" w:type="dxa"/>
          <w:wAfter w:w="342" w:type="dxa"/>
          <w:trHeight w:val="360"/>
        </w:trPr>
        <w:tc>
          <w:tcPr>
            <w:tcW w:w="5508" w:type="dxa"/>
          </w:tcPr>
          <w:p w:rsidR="00C920E8" w:rsidRPr="00DD7C1A" w:rsidRDefault="00C920E8" w:rsidP="003A734C">
            <w:pPr>
              <w:spacing w:before="60" w:after="60"/>
              <w:rPr>
                <w:rFonts w:cs="Arial"/>
                <w:szCs w:val="20"/>
              </w:rPr>
            </w:pPr>
            <w:r>
              <w:rPr>
                <w:rFonts w:cs="Arial"/>
                <w:szCs w:val="20"/>
              </w:rPr>
              <w:t xml:space="preserve">Biosolids treatment and processing at NEWPCC </w:t>
            </w:r>
          </w:p>
        </w:tc>
        <w:tc>
          <w:tcPr>
            <w:tcW w:w="1980" w:type="dxa"/>
          </w:tcPr>
          <w:p w:rsidR="00C920E8" w:rsidRPr="004B62C1" w:rsidRDefault="00C920E8" w:rsidP="003A734C">
            <w:pPr>
              <w:spacing w:before="60" w:after="60"/>
              <w:jc w:val="center"/>
              <w:rPr>
                <w:b/>
              </w:rPr>
            </w:pPr>
          </w:p>
        </w:tc>
        <w:tc>
          <w:tcPr>
            <w:tcW w:w="2088" w:type="dxa"/>
          </w:tcPr>
          <w:p w:rsidR="00C920E8" w:rsidRPr="004B62C1" w:rsidRDefault="00C920E8" w:rsidP="003A734C">
            <w:pPr>
              <w:spacing w:before="60" w:after="60"/>
              <w:jc w:val="center"/>
              <w:rPr>
                <w:b/>
              </w:rPr>
            </w:pPr>
            <w:r>
              <w:rPr>
                <w:b/>
              </w:rPr>
              <w:t>X</w:t>
            </w:r>
          </w:p>
        </w:tc>
      </w:tr>
      <w:tr w:rsidR="00C920E8" w:rsidTr="00920A9F">
        <w:trPr>
          <w:gridBefore w:val="1"/>
          <w:gridAfter w:val="1"/>
          <w:wBefore w:w="72" w:type="dxa"/>
          <w:wAfter w:w="342" w:type="dxa"/>
          <w:trHeight w:val="360"/>
        </w:trPr>
        <w:tc>
          <w:tcPr>
            <w:tcW w:w="5508" w:type="dxa"/>
          </w:tcPr>
          <w:p w:rsidR="00C920E8" w:rsidRPr="00DD7C1A" w:rsidRDefault="00C920E8" w:rsidP="003A734C">
            <w:pPr>
              <w:spacing w:before="60" w:after="60"/>
              <w:rPr>
                <w:rFonts w:cs="Arial"/>
                <w:szCs w:val="20"/>
              </w:rPr>
            </w:pPr>
            <w:r>
              <w:rPr>
                <w:rFonts w:cs="Arial"/>
                <w:szCs w:val="20"/>
              </w:rPr>
              <w:t>Biosolids transport to designated site</w:t>
            </w:r>
          </w:p>
        </w:tc>
        <w:tc>
          <w:tcPr>
            <w:tcW w:w="1980" w:type="dxa"/>
          </w:tcPr>
          <w:p w:rsidR="00C920E8" w:rsidRPr="004B62C1" w:rsidRDefault="00C920E8" w:rsidP="003A734C">
            <w:pPr>
              <w:spacing w:before="60" w:after="60"/>
              <w:jc w:val="center"/>
              <w:rPr>
                <w:b/>
              </w:rPr>
            </w:pPr>
          </w:p>
        </w:tc>
        <w:tc>
          <w:tcPr>
            <w:tcW w:w="2088" w:type="dxa"/>
          </w:tcPr>
          <w:p w:rsidR="00C920E8" w:rsidRPr="004B62C1" w:rsidRDefault="00C920E8" w:rsidP="003A734C">
            <w:pPr>
              <w:spacing w:before="60" w:after="60"/>
              <w:jc w:val="center"/>
              <w:rPr>
                <w:b/>
              </w:rPr>
            </w:pPr>
            <w:r>
              <w:rPr>
                <w:b/>
              </w:rPr>
              <w:t>X</w:t>
            </w:r>
          </w:p>
        </w:tc>
      </w:tr>
      <w:tr w:rsidR="005F110F" w:rsidTr="00920A9F">
        <w:trPr>
          <w:gridBefore w:val="1"/>
          <w:gridAfter w:val="1"/>
          <w:wBefore w:w="72" w:type="dxa"/>
          <w:wAfter w:w="342" w:type="dxa"/>
          <w:trHeight w:val="360"/>
        </w:trPr>
        <w:tc>
          <w:tcPr>
            <w:tcW w:w="5508" w:type="dxa"/>
          </w:tcPr>
          <w:p w:rsidR="005F110F" w:rsidRPr="00DD7C1A" w:rsidRDefault="005F110F" w:rsidP="007901D4">
            <w:pPr>
              <w:spacing w:before="60" w:after="60"/>
              <w:rPr>
                <w:rFonts w:cs="Arial"/>
                <w:szCs w:val="20"/>
              </w:rPr>
            </w:pPr>
            <w:r>
              <w:rPr>
                <w:rFonts w:cs="Arial"/>
                <w:szCs w:val="20"/>
              </w:rPr>
              <w:t>Management and operation of land application program</w:t>
            </w:r>
          </w:p>
        </w:tc>
        <w:tc>
          <w:tcPr>
            <w:tcW w:w="1980" w:type="dxa"/>
          </w:tcPr>
          <w:p w:rsidR="005F110F" w:rsidRPr="004B62C1" w:rsidRDefault="005F110F" w:rsidP="007901D4">
            <w:pPr>
              <w:spacing w:before="60" w:after="60"/>
              <w:jc w:val="center"/>
              <w:rPr>
                <w:b/>
              </w:rPr>
            </w:pPr>
            <w:r w:rsidRPr="004B62C1">
              <w:rPr>
                <w:b/>
              </w:rPr>
              <w:t>X</w:t>
            </w:r>
          </w:p>
        </w:tc>
        <w:tc>
          <w:tcPr>
            <w:tcW w:w="2088" w:type="dxa"/>
          </w:tcPr>
          <w:p w:rsidR="005F110F" w:rsidRPr="004B62C1" w:rsidRDefault="005F110F" w:rsidP="007901D4">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Default="005F110F" w:rsidP="007901D4">
            <w:pPr>
              <w:spacing w:before="60" w:after="60"/>
              <w:rPr>
                <w:rFonts w:cs="Arial"/>
                <w:szCs w:val="20"/>
              </w:rPr>
            </w:pPr>
            <w:r>
              <w:rPr>
                <w:rFonts w:cs="Arial"/>
                <w:szCs w:val="20"/>
              </w:rPr>
              <w:t xml:space="preserve">Biosolids onsite staging and handling </w:t>
            </w:r>
          </w:p>
        </w:tc>
        <w:tc>
          <w:tcPr>
            <w:tcW w:w="1980" w:type="dxa"/>
          </w:tcPr>
          <w:p w:rsidR="005F110F" w:rsidRPr="004B62C1" w:rsidRDefault="005F110F" w:rsidP="007901D4">
            <w:pPr>
              <w:spacing w:before="60" w:after="60"/>
              <w:jc w:val="center"/>
              <w:rPr>
                <w:b/>
              </w:rPr>
            </w:pPr>
            <w:r>
              <w:rPr>
                <w:b/>
              </w:rPr>
              <w:t>X</w:t>
            </w:r>
          </w:p>
        </w:tc>
        <w:tc>
          <w:tcPr>
            <w:tcW w:w="2088" w:type="dxa"/>
          </w:tcPr>
          <w:p w:rsidR="005F110F" w:rsidRPr="004B62C1" w:rsidRDefault="005F110F" w:rsidP="007901D4">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Default="005F110F" w:rsidP="003A734C">
            <w:pPr>
              <w:spacing w:before="60" w:after="60"/>
            </w:pPr>
            <w:r>
              <w:t>Environment Act Licence for operation of the program</w:t>
            </w:r>
            <w:r w:rsidRPr="001C5295">
              <w:rPr>
                <w:b/>
              </w:rPr>
              <w:t>*</w:t>
            </w:r>
            <w:r>
              <w:rPr>
                <w:b/>
              </w:rPr>
              <w:t>*</w:t>
            </w:r>
          </w:p>
        </w:tc>
        <w:tc>
          <w:tcPr>
            <w:tcW w:w="1980" w:type="dxa"/>
          </w:tcPr>
          <w:p w:rsidR="005F110F" w:rsidRPr="004B62C1" w:rsidRDefault="005F110F" w:rsidP="003A734C">
            <w:pPr>
              <w:spacing w:before="60" w:after="60"/>
              <w:jc w:val="center"/>
              <w:rPr>
                <w:b/>
              </w:rPr>
            </w:pPr>
            <w:r w:rsidRPr="004B62C1">
              <w:rPr>
                <w:b/>
              </w:rPr>
              <w:t>X</w:t>
            </w:r>
          </w:p>
        </w:tc>
        <w:tc>
          <w:tcPr>
            <w:tcW w:w="2088" w:type="dxa"/>
          </w:tcPr>
          <w:p w:rsidR="005F110F" w:rsidRPr="004B62C1" w:rsidRDefault="005F110F" w:rsidP="003A734C">
            <w:pPr>
              <w:spacing w:before="60" w:after="60"/>
              <w:jc w:val="center"/>
              <w:rPr>
                <w:b/>
              </w:rPr>
            </w:pPr>
            <w:r w:rsidRPr="004B62C1">
              <w:rPr>
                <w:b/>
              </w:rPr>
              <w:t>X</w:t>
            </w:r>
          </w:p>
        </w:tc>
      </w:tr>
      <w:tr w:rsidR="005F110F" w:rsidTr="00920A9F">
        <w:trPr>
          <w:gridBefore w:val="1"/>
          <w:gridAfter w:val="1"/>
          <w:wBefore w:w="72" w:type="dxa"/>
          <w:wAfter w:w="342" w:type="dxa"/>
          <w:trHeight w:val="360"/>
        </w:trPr>
        <w:tc>
          <w:tcPr>
            <w:tcW w:w="5508" w:type="dxa"/>
          </w:tcPr>
          <w:p w:rsidR="005F110F" w:rsidRPr="00DD7C1A" w:rsidRDefault="005F110F" w:rsidP="003A734C">
            <w:pPr>
              <w:spacing w:before="60" w:after="60"/>
              <w:rPr>
                <w:rFonts w:cs="Arial"/>
                <w:szCs w:val="20"/>
              </w:rPr>
            </w:pPr>
            <w:r>
              <w:rPr>
                <w:rFonts w:cs="Arial"/>
                <w:szCs w:val="20"/>
              </w:rPr>
              <w:t>Compliance with all regulatory requirements – sampling, monitoring, reporting, etc.</w:t>
            </w:r>
            <w:r>
              <w:rPr>
                <w:rFonts w:cs="Arial"/>
                <w:b/>
                <w:szCs w:val="20"/>
              </w:rPr>
              <w:t>*</w:t>
            </w:r>
            <w:r w:rsidRPr="001C5295">
              <w:rPr>
                <w:rFonts w:cs="Arial"/>
                <w:b/>
                <w:szCs w:val="20"/>
              </w:rPr>
              <w:t>*</w:t>
            </w:r>
          </w:p>
        </w:tc>
        <w:tc>
          <w:tcPr>
            <w:tcW w:w="1980" w:type="dxa"/>
          </w:tcPr>
          <w:p w:rsidR="005F110F" w:rsidRPr="004B62C1" w:rsidRDefault="005F110F" w:rsidP="003A734C">
            <w:pPr>
              <w:spacing w:before="60" w:after="60"/>
              <w:jc w:val="center"/>
              <w:rPr>
                <w:b/>
              </w:rPr>
            </w:pPr>
            <w:r w:rsidRPr="004B62C1">
              <w:rPr>
                <w:b/>
              </w:rPr>
              <w:t>X</w:t>
            </w:r>
          </w:p>
        </w:tc>
        <w:tc>
          <w:tcPr>
            <w:tcW w:w="2088" w:type="dxa"/>
          </w:tcPr>
          <w:p w:rsidR="005F110F" w:rsidRPr="004B62C1" w:rsidRDefault="005F110F" w:rsidP="003A734C">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2139C7">
            <w:pPr>
              <w:spacing w:before="60" w:after="60"/>
              <w:rPr>
                <w:rFonts w:cs="Arial"/>
                <w:szCs w:val="20"/>
              </w:rPr>
            </w:pPr>
            <w:r w:rsidRPr="00DD7C1A">
              <w:rPr>
                <w:rFonts w:cs="Arial"/>
                <w:szCs w:val="20"/>
              </w:rPr>
              <w:t>Public</w:t>
            </w:r>
            <w:r>
              <w:rPr>
                <w:rFonts w:cs="Arial"/>
                <w:szCs w:val="20"/>
              </w:rPr>
              <w:t xml:space="preserve"> education and</w:t>
            </w:r>
            <w:r w:rsidRPr="00DD7C1A">
              <w:rPr>
                <w:rFonts w:cs="Arial"/>
                <w:szCs w:val="20"/>
              </w:rPr>
              <w:t xml:space="preserve"> engagement</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2139C7">
            <w:pPr>
              <w:spacing w:before="60" w:after="60"/>
              <w:rPr>
                <w:rFonts w:cs="Arial"/>
                <w:szCs w:val="20"/>
              </w:rPr>
            </w:pPr>
            <w:r>
              <w:rPr>
                <w:rFonts w:cs="Arial"/>
                <w:szCs w:val="20"/>
              </w:rPr>
              <w:t>Consult with rural municipalities and communities</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633105">
            <w:pPr>
              <w:spacing w:before="60" w:after="60"/>
              <w:rPr>
                <w:rFonts w:cs="Arial"/>
                <w:szCs w:val="20"/>
              </w:rPr>
            </w:pPr>
            <w:r w:rsidRPr="00DD7C1A">
              <w:rPr>
                <w:rFonts w:cs="Arial"/>
                <w:szCs w:val="20"/>
              </w:rPr>
              <w:t xml:space="preserve">Marketing </w:t>
            </w:r>
            <w:r>
              <w:rPr>
                <w:rFonts w:cs="Arial"/>
                <w:szCs w:val="20"/>
              </w:rPr>
              <w:t>to agricultural community</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633105">
            <w:pPr>
              <w:spacing w:before="60" w:after="60"/>
              <w:rPr>
                <w:rFonts w:cs="Arial"/>
                <w:szCs w:val="20"/>
              </w:rPr>
            </w:pPr>
            <w:r>
              <w:rPr>
                <w:rFonts w:cs="Arial"/>
                <w:szCs w:val="20"/>
              </w:rPr>
              <w:t>Secure</w:t>
            </w:r>
            <w:r w:rsidRPr="00DD7C1A">
              <w:rPr>
                <w:rFonts w:cs="Arial"/>
                <w:szCs w:val="20"/>
              </w:rPr>
              <w:t xml:space="preserve"> land for </w:t>
            </w:r>
            <w:r>
              <w:rPr>
                <w:rFonts w:cs="Arial"/>
                <w:szCs w:val="20"/>
              </w:rPr>
              <w:t>application</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2139C7">
            <w:pPr>
              <w:spacing w:before="60" w:after="60"/>
              <w:rPr>
                <w:rFonts w:cs="Arial"/>
                <w:szCs w:val="20"/>
              </w:rPr>
            </w:pPr>
            <w:r>
              <w:rPr>
                <w:rFonts w:cs="Arial"/>
                <w:szCs w:val="20"/>
              </w:rPr>
              <w:t xml:space="preserve">Prepare </w:t>
            </w:r>
            <w:r w:rsidRPr="00DD7C1A">
              <w:rPr>
                <w:rFonts w:cs="Arial"/>
                <w:szCs w:val="20"/>
              </w:rPr>
              <w:t>Nutrient Management Plan</w:t>
            </w:r>
            <w:r>
              <w:rPr>
                <w:rFonts w:cs="Arial"/>
                <w:szCs w:val="20"/>
              </w:rPr>
              <w:t>s</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2139C7">
            <w:pPr>
              <w:spacing w:before="60" w:after="60"/>
              <w:rPr>
                <w:rFonts w:cs="Arial"/>
                <w:szCs w:val="20"/>
              </w:rPr>
            </w:pPr>
            <w:r>
              <w:rPr>
                <w:rFonts w:cs="Arial"/>
                <w:szCs w:val="20"/>
              </w:rPr>
              <w:t>Determine application rates</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Default="005F110F" w:rsidP="002139C7">
            <w:pPr>
              <w:spacing w:before="60" w:after="60"/>
              <w:rPr>
                <w:rFonts w:cs="Arial"/>
                <w:szCs w:val="20"/>
              </w:rPr>
            </w:pPr>
            <w:r>
              <w:rPr>
                <w:rFonts w:cs="Arial"/>
                <w:szCs w:val="20"/>
              </w:rPr>
              <w:t>Plan and coordinate land application schedule</w:t>
            </w:r>
          </w:p>
        </w:tc>
        <w:tc>
          <w:tcPr>
            <w:tcW w:w="1980" w:type="dxa"/>
          </w:tcPr>
          <w:p w:rsidR="005F110F" w:rsidRPr="004B62C1" w:rsidRDefault="005F110F" w:rsidP="002139C7">
            <w:pPr>
              <w:spacing w:before="60" w:after="60"/>
              <w:jc w:val="center"/>
              <w:rPr>
                <w:b/>
              </w:rPr>
            </w:pPr>
            <w:r>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Pr="00DD7C1A" w:rsidRDefault="005F110F" w:rsidP="002139C7">
            <w:pPr>
              <w:spacing w:before="60" w:after="60"/>
              <w:rPr>
                <w:rFonts w:cs="Arial"/>
                <w:szCs w:val="20"/>
              </w:rPr>
            </w:pPr>
            <w:r>
              <w:rPr>
                <w:rFonts w:cs="Arial"/>
                <w:szCs w:val="20"/>
              </w:rPr>
              <w:t>Supply, operate and maintain all equipment for program</w:t>
            </w:r>
          </w:p>
        </w:tc>
        <w:tc>
          <w:tcPr>
            <w:tcW w:w="1980" w:type="dxa"/>
          </w:tcPr>
          <w:p w:rsidR="005F110F" w:rsidRPr="004B62C1" w:rsidRDefault="005F110F" w:rsidP="002139C7">
            <w:pPr>
              <w:spacing w:before="60" w:after="60"/>
              <w:jc w:val="center"/>
              <w:rPr>
                <w:b/>
              </w:rPr>
            </w:pPr>
            <w:r w:rsidRPr="004B62C1">
              <w:rPr>
                <w:b/>
              </w:rPr>
              <w:t>X</w:t>
            </w:r>
          </w:p>
        </w:tc>
        <w:tc>
          <w:tcPr>
            <w:tcW w:w="2088" w:type="dxa"/>
          </w:tcPr>
          <w:p w:rsidR="005F110F" w:rsidRPr="004B62C1" w:rsidRDefault="005F110F" w:rsidP="002139C7">
            <w:pPr>
              <w:spacing w:before="60" w:after="60"/>
              <w:jc w:val="center"/>
              <w:rPr>
                <w:b/>
              </w:rPr>
            </w:pPr>
          </w:p>
        </w:tc>
      </w:tr>
      <w:tr w:rsidR="005F110F" w:rsidTr="00920A9F">
        <w:trPr>
          <w:gridBefore w:val="1"/>
          <w:gridAfter w:val="1"/>
          <w:wBefore w:w="72" w:type="dxa"/>
          <w:wAfter w:w="342" w:type="dxa"/>
          <w:trHeight w:val="360"/>
        </w:trPr>
        <w:tc>
          <w:tcPr>
            <w:tcW w:w="5508" w:type="dxa"/>
          </w:tcPr>
          <w:p w:rsidR="005F110F" w:rsidRDefault="005F110F" w:rsidP="00316955">
            <w:pPr>
              <w:spacing w:before="60" w:after="60"/>
              <w:rPr>
                <w:rFonts w:cs="Arial"/>
                <w:szCs w:val="20"/>
              </w:rPr>
            </w:pPr>
            <w:r>
              <w:rPr>
                <w:rFonts w:cs="Arial"/>
                <w:szCs w:val="20"/>
              </w:rPr>
              <w:t>Manitoba Conservation and Water Stewardship Reports</w:t>
            </w:r>
            <w:r>
              <w:rPr>
                <w:rFonts w:cs="Arial"/>
                <w:b/>
                <w:szCs w:val="20"/>
              </w:rPr>
              <w:t>**</w:t>
            </w:r>
          </w:p>
        </w:tc>
        <w:tc>
          <w:tcPr>
            <w:tcW w:w="1980" w:type="dxa"/>
          </w:tcPr>
          <w:p w:rsidR="005F110F" w:rsidRPr="004B62C1" w:rsidRDefault="005F110F" w:rsidP="00316955">
            <w:pPr>
              <w:spacing w:before="60" w:after="60"/>
              <w:jc w:val="center"/>
              <w:rPr>
                <w:b/>
              </w:rPr>
            </w:pPr>
            <w:r w:rsidRPr="004B62C1">
              <w:rPr>
                <w:b/>
              </w:rPr>
              <w:t>X</w:t>
            </w:r>
          </w:p>
        </w:tc>
        <w:tc>
          <w:tcPr>
            <w:tcW w:w="2088" w:type="dxa"/>
          </w:tcPr>
          <w:p w:rsidR="005F110F" w:rsidRPr="004B62C1" w:rsidRDefault="005F110F" w:rsidP="00316955">
            <w:pPr>
              <w:tabs>
                <w:tab w:val="left" w:pos="270"/>
              </w:tabs>
              <w:spacing w:before="60" w:after="60"/>
              <w:jc w:val="center"/>
              <w:rPr>
                <w:b/>
              </w:rPr>
            </w:pPr>
          </w:p>
        </w:tc>
      </w:tr>
      <w:tr w:rsidR="005F110F" w:rsidTr="00920A9F">
        <w:trPr>
          <w:gridBefore w:val="1"/>
          <w:gridAfter w:val="1"/>
          <w:wBefore w:w="72" w:type="dxa"/>
          <w:wAfter w:w="342" w:type="dxa"/>
          <w:trHeight w:val="360"/>
        </w:trPr>
        <w:tc>
          <w:tcPr>
            <w:tcW w:w="9576" w:type="dxa"/>
            <w:gridSpan w:val="3"/>
          </w:tcPr>
          <w:p w:rsidR="005F110F" w:rsidRPr="004B62C1" w:rsidRDefault="005F110F" w:rsidP="005D0AEC">
            <w:pPr>
              <w:tabs>
                <w:tab w:val="left" w:pos="270"/>
              </w:tabs>
              <w:spacing w:before="60" w:after="60"/>
              <w:rPr>
                <w:b/>
              </w:rPr>
            </w:pPr>
            <w:r>
              <w:rPr>
                <w:rFonts w:cs="Arial"/>
                <w:b/>
                <w:szCs w:val="20"/>
              </w:rPr>
              <w:t>**</w:t>
            </w:r>
            <w:r w:rsidRPr="001C5295">
              <w:rPr>
                <w:rFonts w:cs="Arial"/>
                <w:b/>
                <w:szCs w:val="20"/>
              </w:rPr>
              <w:t>Note</w:t>
            </w:r>
            <w:r>
              <w:rPr>
                <w:rFonts w:cs="Arial"/>
                <w:szCs w:val="20"/>
              </w:rPr>
              <w:t xml:space="preserve"> Regarding the Environment Act Licence for operation of the program, it is the City’s intention to enter into an agreement with the Contractor to transfer the responsibility of specific clauses to the Contractor. </w:t>
            </w:r>
          </w:p>
        </w:tc>
      </w:tr>
      <w:tr w:rsidR="005F110F" w:rsidTr="00920A9F">
        <w:trPr>
          <w:gridBefore w:val="1"/>
          <w:gridAfter w:val="1"/>
          <w:wBefore w:w="72" w:type="dxa"/>
          <w:wAfter w:w="342" w:type="dxa"/>
          <w:trHeight w:val="5516"/>
        </w:trPr>
        <w:tc>
          <w:tcPr>
            <w:tcW w:w="9576" w:type="dxa"/>
            <w:gridSpan w:val="3"/>
          </w:tcPr>
          <w:p w:rsidR="005F110F" w:rsidRDefault="005F110F" w:rsidP="00546D44">
            <w:pPr>
              <w:tabs>
                <w:tab w:val="left" w:pos="270"/>
              </w:tabs>
              <w:spacing w:before="180" w:after="180"/>
              <w:rPr>
                <w:b/>
              </w:rPr>
            </w:pPr>
            <w:r>
              <w:rPr>
                <w:b/>
              </w:rPr>
              <w:t>4.2 Provide input on the Risk Matrix for Option A: Seasonal Application Program</w:t>
            </w:r>
            <w:r w:rsidR="00F10536">
              <w:rPr>
                <w:b/>
              </w:rPr>
              <w:t>:</w:t>
            </w:r>
          </w:p>
          <w:p w:rsidR="005F110F" w:rsidRPr="004B62C1" w:rsidRDefault="005F110F" w:rsidP="00546D44">
            <w:pPr>
              <w:tabs>
                <w:tab w:val="left" w:pos="270"/>
              </w:tabs>
              <w:spacing w:before="180" w:after="180"/>
              <w:rPr>
                <w:b/>
              </w:rPr>
            </w:pPr>
          </w:p>
        </w:tc>
      </w:tr>
      <w:tr w:rsidR="005F110F" w:rsidRPr="0013733B" w:rsidTr="00920A9F">
        <w:trPr>
          <w:gridBefore w:val="1"/>
          <w:gridAfter w:val="1"/>
          <w:wBefore w:w="72" w:type="dxa"/>
          <w:wAfter w:w="342" w:type="dxa"/>
          <w:trHeight w:val="360"/>
        </w:trPr>
        <w:tc>
          <w:tcPr>
            <w:tcW w:w="5508" w:type="dxa"/>
          </w:tcPr>
          <w:p w:rsidR="005F110F" w:rsidRPr="0013733B" w:rsidRDefault="005F110F" w:rsidP="00CA77EA">
            <w:pPr>
              <w:spacing w:before="60" w:after="60"/>
              <w:rPr>
                <w:b/>
              </w:rPr>
            </w:pPr>
            <w:r>
              <w:rPr>
                <w:b/>
              </w:rPr>
              <w:lastRenderedPageBreak/>
              <w:t xml:space="preserve">4.3 </w:t>
            </w:r>
            <w:r w:rsidRPr="0013733B">
              <w:rPr>
                <w:b/>
              </w:rPr>
              <w:t>Responsibilities</w:t>
            </w:r>
            <w:r>
              <w:rPr>
                <w:b/>
              </w:rPr>
              <w:t xml:space="preserve"> – Option B</w:t>
            </w:r>
          </w:p>
        </w:tc>
        <w:tc>
          <w:tcPr>
            <w:tcW w:w="1980" w:type="dxa"/>
          </w:tcPr>
          <w:p w:rsidR="005F110F" w:rsidRPr="0013733B" w:rsidRDefault="005F110F" w:rsidP="00316955">
            <w:pPr>
              <w:spacing w:before="60" w:after="60"/>
              <w:jc w:val="center"/>
              <w:rPr>
                <w:b/>
              </w:rPr>
            </w:pPr>
            <w:r>
              <w:rPr>
                <w:b/>
              </w:rPr>
              <w:t>Contractor</w:t>
            </w:r>
          </w:p>
        </w:tc>
        <w:tc>
          <w:tcPr>
            <w:tcW w:w="2088" w:type="dxa"/>
          </w:tcPr>
          <w:p w:rsidR="005F110F" w:rsidRPr="0013733B" w:rsidRDefault="005F110F" w:rsidP="00316955">
            <w:pPr>
              <w:spacing w:before="60" w:after="60"/>
              <w:jc w:val="center"/>
              <w:rPr>
                <w:b/>
              </w:rPr>
            </w:pPr>
            <w:r w:rsidRPr="0013733B">
              <w:rPr>
                <w:b/>
              </w:rPr>
              <w:t>City of Winnipeg</w:t>
            </w:r>
          </w:p>
        </w:tc>
      </w:tr>
      <w:tr w:rsidR="005F110F" w:rsidRPr="004B62C1" w:rsidTr="00920A9F">
        <w:trPr>
          <w:gridBefore w:val="1"/>
          <w:gridAfter w:val="1"/>
          <w:wBefore w:w="72" w:type="dxa"/>
          <w:wAfter w:w="342" w:type="dxa"/>
          <w:trHeight w:val="360"/>
        </w:trPr>
        <w:tc>
          <w:tcPr>
            <w:tcW w:w="5508" w:type="dxa"/>
          </w:tcPr>
          <w:p w:rsidR="005F110F" w:rsidRPr="00DD7C1A" w:rsidRDefault="005F110F" w:rsidP="003A734C">
            <w:pPr>
              <w:spacing w:before="60" w:after="60"/>
              <w:rPr>
                <w:rFonts w:cs="Arial"/>
                <w:szCs w:val="20"/>
              </w:rPr>
            </w:pPr>
            <w:r>
              <w:rPr>
                <w:rFonts w:cs="Arial"/>
                <w:szCs w:val="20"/>
              </w:rPr>
              <w:t xml:space="preserve">Biosolids treatment and processing at NEWPCC </w:t>
            </w:r>
          </w:p>
        </w:tc>
        <w:tc>
          <w:tcPr>
            <w:tcW w:w="1980" w:type="dxa"/>
          </w:tcPr>
          <w:p w:rsidR="005F110F" w:rsidRPr="004B62C1" w:rsidRDefault="005F110F" w:rsidP="003A734C">
            <w:pPr>
              <w:spacing w:before="60" w:after="60"/>
              <w:jc w:val="center"/>
              <w:rPr>
                <w:b/>
              </w:rPr>
            </w:pPr>
          </w:p>
        </w:tc>
        <w:tc>
          <w:tcPr>
            <w:tcW w:w="2088" w:type="dxa"/>
          </w:tcPr>
          <w:p w:rsidR="005F110F" w:rsidRPr="004B62C1" w:rsidRDefault="005F110F" w:rsidP="003A734C">
            <w:pPr>
              <w:spacing w:before="60" w:after="60"/>
              <w:jc w:val="center"/>
              <w:rPr>
                <w:b/>
              </w:rPr>
            </w:pPr>
            <w:r>
              <w:rPr>
                <w:b/>
              </w:rPr>
              <w:t>X</w:t>
            </w:r>
          </w:p>
        </w:tc>
      </w:tr>
      <w:tr w:rsidR="005F110F" w:rsidRPr="004B62C1" w:rsidTr="00920A9F">
        <w:trPr>
          <w:gridBefore w:val="1"/>
          <w:gridAfter w:val="1"/>
          <w:wBefore w:w="72" w:type="dxa"/>
          <w:wAfter w:w="342" w:type="dxa"/>
          <w:trHeight w:val="360"/>
        </w:trPr>
        <w:tc>
          <w:tcPr>
            <w:tcW w:w="5508" w:type="dxa"/>
          </w:tcPr>
          <w:p w:rsidR="005F110F" w:rsidRPr="00DD7C1A" w:rsidRDefault="005F110F" w:rsidP="003A734C">
            <w:pPr>
              <w:spacing w:before="60" w:after="60"/>
              <w:rPr>
                <w:rFonts w:cs="Arial"/>
                <w:szCs w:val="20"/>
              </w:rPr>
            </w:pPr>
            <w:r>
              <w:rPr>
                <w:rFonts w:cs="Arial"/>
                <w:szCs w:val="20"/>
              </w:rPr>
              <w:t>Biosolids transport to storage facility</w:t>
            </w:r>
          </w:p>
        </w:tc>
        <w:tc>
          <w:tcPr>
            <w:tcW w:w="1980" w:type="dxa"/>
          </w:tcPr>
          <w:p w:rsidR="005F110F" w:rsidRPr="004B62C1" w:rsidRDefault="005F110F" w:rsidP="003A734C">
            <w:pPr>
              <w:spacing w:before="60" w:after="60"/>
              <w:jc w:val="center"/>
              <w:rPr>
                <w:b/>
              </w:rPr>
            </w:pPr>
          </w:p>
        </w:tc>
        <w:tc>
          <w:tcPr>
            <w:tcW w:w="2088" w:type="dxa"/>
          </w:tcPr>
          <w:p w:rsidR="005F110F" w:rsidRPr="004B62C1" w:rsidRDefault="005F110F" w:rsidP="003A734C">
            <w:pPr>
              <w:spacing w:before="60" w:after="60"/>
              <w:jc w:val="center"/>
              <w:rPr>
                <w:b/>
              </w:rPr>
            </w:pPr>
            <w:r>
              <w:rPr>
                <w:b/>
              </w:rPr>
              <w:t>X</w:t>
            </w:r>
          </w:p>
        </w:tc>
      </w:tr>
      <w:tr w:rsidR="000A7539" w:rsidRPr="004B62C1" w:rsidTr="00920A9F">
        <w:trPr>
          <w:gridBefore w:val="1"/>
          <w:gridAfter w:val="1"/>
          <w:wBefore w:w="72" w:type="dxa"/>
          <w:wAfter w:w="342" w:type="dxa"/>
          <w:trHeight w:val="360"/>
        </w:trPr>
        <w:tc>
          <w:tcPr>
            <w:tcW w:w="5508" w:type="dxa"/>
          </w:tcPr>
          <w:p w:rsidR="000A7539" w:rsidRPr="00DD7C1A" w:rsidRDefault="000A7539" w:rsidP="007901D4">
            <w:pPr>
              <w:spacing w:before="60" w:after="60"/>
              <w:rPr>
                <w:rFonts w:cs="Arial"/>
                <w:szCs w:val="20"/>
              </w:rPr>
            </w:pPr>
            <w:r>
              <w:rPr>
                <w:rFonts w:cs="Arial"/>
                <w:szCs w:val="20"/>
              </w:rPr>
              <w:t>Management and operation of land application program</w:t>
            </w:r>
          </w:p>
        </w:tc>
        <w:tc>
          <w:tcPr>
            <w:tcW w:w="1980" w:type="dxa"/>
          </w:tcPr>
          <w:p w:rsidR="000A7539" w:rsidRPr="004B62C1" w:rsidRDefault="000A7539" w:rsidP="007901D4">
            <w:pPr>
              <w:spacing w:before="60" w:after="60"/>
              <w:jc w:val="center"/>
              <w:rPr>
                <w:b/>
              </w:rPr>
            </w:pPr>
            <w:r w:rsidRPr="004B62C1">
              <w:rPr>
                <w:b/>
              </w:rPr>
              <w:t>X</w:t>
            </w:r>
          </w:p>
        </w:tc>
        <w:tc>
          <w:tcPr>
            <w:tcW w:w="2088" w:type="dxa"/>
          </w:tcPr>
          <w:p w:rsidR="000A7539" w:rsidRPr="004B62C1" w:rsidRDefault="000A7539" w:rsidP="007901D4">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7901D4">
            <w:pPr>
              <w:spacing w:before="60" w:after="60"/>
              <w:rPr>
                <w:rFonts w:cs="Arial"/>
                <w:szCs w:val="20"/>
              </w:rPr>
            </w:pPr>
            <w:r>
              <w:rPr>
                <w:rFonts w:cs="Arial"/>
                <w:szCs w:val="20"/>
              </w:rPr>
              <w:t>Design, build, own, operate, maintain storage facility</w:t>
            </w:r>
            <w:r w:rsidRPr="00DD7C1A">
              <w:rPr>
                <w:rFonts w:cs="Arial"/>
                <w:szCs w:val="20"/>
              </w:rPr>
              <w:t xml:space="preserve"> </w:t>
            </w:r>
          </w:p>
        </w:tc>
        <w:tc>
          <w:tcPr>
            <w:tcW w:w="1980" w:type="dxa"/>
          </w:tcPr>
          <w:p w:rsidR="000A7539" w:rsidRPr="004B62C1" w:rsidRDefault="000A7539" w:rsidP="007901D4">
            <w:pPr>
              <w:spacing w:before="60" w:after="60"/>
              <w:jc w:val="center"/>
              <w:rPr>
                <w:b/>
              </w:rPr>
            </w:pPr>
            <w:r w:rsidRPr="004B62C1">
              <w:rPr>
                <w:b/>
              </w:rPr>
              <w:t>X</w:t>
            </w:r>
          </w:p>
        </w:tc>
        <w:tc>
          <w:tcPr>
            <w:tcW w:w="2088" w:type="dxa"/>
          </w:tcPr>
          <w:p w:rsidR="000A7539" w:rsidRPr="004B62C1" w:rsidRDefault="000A7539" w:rsidP="007901D4">
            <w:pPr>
              <w:tabs>
                <w:tab w:val="left" w:pos="270"/>
              </w:tabs>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Default="000A7539" w:rsidP="007901D4">
            <w:pPr>
              <w:spacing w:before="60" w:after="60"/>
            </w:pPr>
            <w:r>
              <w:t xml:space="preserve">Environment Act Licence for storage facility </w:t>
            </w:r>
          </w:p>
        </w:tc>
        <w:tc>
          <w:tcPr>
            <w:tcW w:w="1980" w:type="dxa"/>
          </w:tcPr>
          <w:p w:rsidR="000A7539" w:rsidRPr="004B62C1" w:rsidRDefault="000A7539" w:rsidP="007901D4">
            <w:pPr>
              <w:spacing w:before="60" w:after="60"/>
              <w:jc w:val="center"/>
              <w:rPr>
                <w:b/>
              </w:rPr>
            </w:pPr>
            <w:r w:rsidRPr="004B62C1">
              <w:rPr>
                <w:b/>
              </w:rPr>
              <w:t>X</w:t>
            </w:r>
          </w:p>
        </w:tc>
        <w:tc>
          <w:tcPr>
            <w:tcW w:w="2088" w:type="dxa"/>
          </w:tcPr>
          <w:p w:rsidR="000A7539" w:rsidRPr="004B62C1" w:rsidRDefault="000A7539" w:rsidP="007901D4">
            <w:pPr>
              <w:tabs>
                <w:tab w:val="left" w:pos="270"/>
              </w:tabs>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Default="000A7539" w:rsidP="007901D4">
            <w:pPr>
              <w:spacing w:before="60" w:after="60"/>
            </w:pPr>
            <w:r>
              <w:t>Environment Act Licence for operation of the program</w:t>
            </w:r>
            <w:r>
              <w:rPr>
                <w:b/>
              </w:rPr>
              <w:t>*</w:t>
            </w:r>
            <w:r w:rsidRPr="00956D54">
              <w:rPr>
                <w:b/>
              </w:rPr>
              <w:t>*</w:t>
            </w:r>
          </w:p>
        </w:tc>
        <w:tc>
          <w:tcPr>
            <w:tcW w:w="1980" w:type="dxa"/>
          </w:tcPr>
          <w:p w:rsidR="000A7539" w:rsidRPr="004B62C1" w:rsidRDefault="000A7539" w:rsidP="007901D4">
            <w:pPr>
              <w:spacing w:before="60" w:after="60"/>
              <w:jc w:val="center"/>
              <w:rPr>
                <w:b/>
              </w:rPr>
            </w:pPr>
            <w:r w:rsidRPr="004B62C1">
              <w:rPr>
                <w:b/>
              </w:rPr>
              <w:t>X</w:t>
            </w:r>
          </w:p>
        </w:tc>
        <w:tc>
          <w:tcPr>
            <w:tcW w:w="2088" w:type="dxa"/>
          </w:tcPr>
          <w:p w:rsidR="000A7539" w:rsidRPr="004B62C1" w:rsidRDefault="000A7539" w:rsidP="007901D4">
            <w:pPr>
              <w:spacing w:before="60" w:after="60"/>
              <w:jc w:val="center"/>
              <w:rPr>
                <w:b/>
              </w:rPr>
            </w:pPr>
            <w:r w:rsidRPr="004B62C1">
              <w:rPr>
                <w:b/>
              </w:rPr>
              <w:t>X</w:t>
            </w:r>
          </w:p>
        </w:tc>
      </w:tr>
      <w:tr w:rsidR="000A7539" w:rsidRPr="004B62C1" w:rsidTr="00920A9F">
        <w:trPr>
          <w:gridBefore w:val="1"/>
          <w:gridAfter w:val="1"/>
          <w:wBefore w:w="72" w:type="dxa"/>
          <w:wAfter w:w="342" w:type="dxa"/>
          <w:trHeight w:val="360"/>
        </w:trPr>
        <w:tc>
          <w:tcPr>
            <w:tcW w:w="5508" w:type="dxa"/>
          </w:tcPr>
          <w:p w:rsidR="000A7539" w:rsidRDefault="000A7539" w:rsidP="007901D4">
            <w:pPr>
              <w:spacing w:before="60" w:after="60"/>
              <w:rPr>
                <w:rFonts w:cs="Arial"/>
                <w:szCs w:val="20"/>
              </w:rPr>
            </w:pPr>
            <w:r>
              <w:rPr>
                <w:rFonts w:cs="Arial"/>
                <w:szCs w:val="20"/>
              </w:rPr>
              <w:t>Biosolids transport from storage facility to agricultural land</w:t>
            </w:r>
          </w:p>
        </w:tc>
        <w:tc>
          <w:tcPr>
            <w:tcW w:w="1980" w:type="dxa"/>
          </w:tcPr>
          <w:p w:rsidR="000A7539" w:rsidRPr="004B62C1" w:rsidRDefault="000A7539" w:rsidP="007901D4">
            <w:pPr>
              <w:spacing w:before="60" w:after="60"/>
              <w:jc w:val="center"/>
              <w:rPr>
                <w:b/>
              </w:rPr>
            </w:pPr>
            <w:r>
              <w:rPr>
                <w:b/>
              </w:rPr>
              <w:t>X</w:t>
            </w:r>
          </w:p>
        </w:tc>
        <w:tc>
          <w:tcPr>
            <w:tcW w:w="2088" w:type="dxa"/>
          </w:tcPr>
          <w:p w:rsidR="000A7539" w:rsidRPr="004B62C1" w:rsidRDefault="000A7539" w:rsidP="007901D4">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7901D4">
            <w:pPr>
              <w:spacing w:before="60" w:after="60"/>
              <w:rPr>
                <w:rFonts w:cs="Arial"/>
                <w:szCs w:val="20"/>
              </w:rPr>
            </w:pPr>
            <w:r>
              <w:rPr>
                <w:rFonts w:cs="Arial"/>
                <w:szCs w:val="20"/>
              </w:rPr>
              <w:t>Compliance with all regulatory requirements – sampling, monitoring, reporting, etc</w:t>
            </w:r>
            <w:r>
              <w:rPr>
                <w:rFonts w:cs="Arial"/>
                <w:b/>
                <w:szCs w:val="20"/>
              </w:rPr>
              <w:t>.**</w:t>
            </w:r>
          </w:p>
        </w:tc>
        <w:tc>
          <w:tcPr>
            <w:tcW w:w="1980" w:type="dxa"/>
          </w:tcPr>
          <w:p w:rsidR="000A7539" w:rsidRPr="004B62C1" w:rsidRDefault="000A7539" w:rsidP="007901D4">
            <w:pPr>
              <w:spacing w:before="60" w:after="60"/>
              <w:jc w:val="center"/>
              <w:rPr>
                <w:b/>
              </w:rPr>
            </w:pPr>
            <w:r w:rsidRPr="004B62C1">
              <w:rPr>
                <w:b/>
              </w:rPr>
              <w:t>X</w:t>
            </w:r>
          </w:p>
        </w:tc>
        <w:tc>
          <w:tcPr>
            <w:tcW w:w="2088" w:type="dxa"/>
          </w:tcPr>
          <w:p w:rsidR="000A7539" w:rsidRPr="004B62C1" w:rsidRDefault="000A7539" w:rsidP="007901D4">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sidRPr="00DD7C1A">
              <w:rPr>
                <w:rFonts w:cs="Arial"/>
                <w:szCs w:val="20"/>
              </w:rPr>
              <w:t>Public</w:t>
            </w:r>
            <w:r>
              <w:rPr>
                <w:rFonts w:cs="Arial"/>
                <w:szCs w:val="20"/>
              </w:rPr>
              <w:t xml:space="preserve"> education and</w:t>
            </w:r>
            <w:r w:rsidRPr="00DD7C1A">
              <w:rPr>
                <w:rFonts w:cs="Arial"/>
                <w:szCs w:val="20"/>
              </w:rPr>
              <w:t xml:space="preserve"> engagement</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Pr>
                <w:rFonts w:cs="Arial"/>
                <w:szCs w:val="20"/>
              </w:rPr>
              <w:t>Consult with rural municipalities and communities</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sidRPr="00DD7C1A">
              <w:rPr>
                <w:rFonts w:cs="Arial"/>
                <w:szCs w:val="20"/>
              </w:rPr>
              <w:t xml:space="preserve">Marketing </w:t>
            </w:r>
            <w:r>
              <w:rPr>
                <w:rFonts w:cs="Arial"/>
                <w:szCs w:val="20"/>
              </w:rPr>
              <w:t>to agricultural community</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Pr>
                <w:rFonts w:cs="Arial"/>
                <w:szCs w:val="20"/>
              </w:rPr>
              <w:t>Secure</w:t>
            </w:r>
            <w:r w:rsidRPr="00DD7C1A">
              <w:rPr>
                <w:rFonts w:cs="Arial"/>
                <w:szCs w:val="20"/>
              </w:rPr>
              <w:t xml:space="preserve"> land for </w:t>
            </w:r>
            <w:r>
              <w:rPr>
                <w:rFonts w:cs="Arial"/>
                <w:szCs w:val="20"/>
              </w:rPr>
              <w:t>application</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Pr>
                <w:rFonts w:cs="Arial"/>
                <w:szCs w:val="20"/>
              </w:rPr>
              <w:t xml:space="preserve">Prepare </w:t>
            </w:r>
            <w:r w:rsidRPr="00DD7C1A">
              <w:rPr>
                <w:rFonts w:cs="Arial"/>
                <w:szCs w:val="20"/>
              </w:rPr>
              <w:t>Nutrient Management Plan</w:t>
            </w:r>
            <w:r>
              <w:rPr>
                <w:rFonts w:cs="Arial"/>
                <w:szCs w:val="20"/>
              </w:rPr>
              <w:t>s</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Pr>
                <w:rFonts w:cs="Arial"/>
                <w:szCs w:val="20"/>
              </w:rPr>
              <w:t>Determine application rates</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Default="000A7539" w:rsidP="003A734C">
            <w:pPr>
              <w:spacing w:before="60" w:after="60"/>
              <w:rPr>
                <w:rFonts w:cs="Arial"/>
                <w:szCs w:val="20"/>
              </w:rPr>
            </w:pPr>
            <w:r>
              <w:rPr>
                <w:rFonts w:cs="Arial"/>
                <w:szCs w:val="20"/>
              </w:rPr>
              <w:t>Plan and coordinate land application schedule</w:t>
            </w:r>
          </w:p>
        </w:tc>
        <w:tc>
          <w:tcPr>
            <w:tcW w:w="1980" w:type="dxa"/>
          </w:tcPr>
          <w:p w:rsidR="000A7539" w:rsidRPr="004B62C1" w:rsidRDefault="000A7539" w:rsidP="003A734C">
            <w:pPr>
              <w:spacing w:before="60" w:after="60"/>
              <w:jc w:val="center"/>
              <w:rPr>
                <w:b/>
              </w:rPr>
            </w:pPr>
            <w:r>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Pr="00DD7C1A" w:rsidRDefault="000A7539" w:rsidP="003A734C">
            <w:pPr>
              <w:spacing w:before="60" w:after="60"/>
              <w:rPr>
                <w:rFonts w:cs="Arial"/>
                <w:szCs w:val="20"/>
              </w:rPr>
            </w:pPr>
            <w:r>
              <w:rPr>
                <w:rFonts w:cs="Arial"/>
                <w:szCs w:val="20"/>
              </w:rPr>
              <w:t>Supply, operate and maintain all equipment for program</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spacing w:before="60" w:after="60"/>
              <w:jc w:val="center"/>
              <w:rPr>
                <w:b/>
              </w:rPr>
            </w:pPr>
          </w:p>
        </w:tc>
      </w:tr>
      <w:tr w:rsidR="000A7539" w:rsidRPr="004B62C1" w:rsidTr="00920A9F">
        <w:trPr>
          <w:gridBefore w:val="1"/>
          <w:gridAfter w:val="1"/>
          <w:wBefore w:w="72" w:type="dxa"/>
          <w:wAfter w:w="342" w:type="dxa"/>
          <w:trHeight w:val="360"/>
        </w:trPr>
        <w:tc>
          <w:tcPr>
            <w:tcW w:w="5508" w:type="dxa"/>
          </w:tcPr>
          <w:p w:rsidR="000A7539" w:rsidRDefault="000A7539" w:rsidP="003A734C">
            <w:pPr>
              <w:spacing w:before="60" w:after="60"/>
              <w:rPr>
                <w:rFonts w:cs="Arial"/>
                <w:szCs w:val="20"/>
              </w:rPr>
            </w:pPr>
            <w:r>
              <w:rPr>
                <w:rFonts w:cs="Arial"/>
                <w:szCs w:val="20"/>
              </w:rPr>
              <w:t>Manitoba Conservation and Water Stewardship Reports</w:t>
            </w:r>
            <w:r>
              <w:rPr>
                <w:rFonts w:cs="Arial"/>
                <w:b/>
                <w:szCs w:val="20"/>
              </w:rPr>
              <w:t>**</w:t>
            </w:r>
          </w:p>
        </w:tc>
        <w:tc>
          <w:tcPr>
            <w:tcW w:w="1980" w:type="dxa"/>
          </w:tcPr>
          <w:p w:rsidR="000A7539" w:rsidRPr="004B62C1" w:rsidRDefault="000A7539" w:rsidP="003A734C">
            <w:pPr>
              <w:spacing w:before="60" w:after="60"/>
              <w:jc w:val="center"/>
              <w:rPr>
                <w:b/>
              </w:rPr>
            </w:pPr>
            <w:r w:rsidRPr="004B62C1">
              <w:rPr>
                <w:b/>
              </w:rPr>
              <w:t>X</w:t>
            </w:r>
          </w:p>
        </w:tc>
        <w:tc>
          <w:tcPr>
            <w:tcW w:w="2088" w:type="dxa"/>
          </w:tcPr>
          <w:p w:rsidR="000A7539" w:rsidRPr="004B62C1" w:rsidRDefault="000A7539" w:rsidP="003A734C">
            <w:pPr>
              <w:tabs>
                <w:tab w:val="left" w:pos="270"/>
              </w:tabs>
              <w:spacing w:before="60" w:after="60"/>
              <w:jc w:val="center"/>
              <w:rPr>
                <w:b/>
              </w:rPr>
            </w:pPr>
          </w:p>
        </w:tc>
      </w:tr>
      <w:tr w:rsidR="000A7539" w:rsidRPr="004B62C1" w:rsidTr="00920A9F">
        <w:trPr>
          <w:gridBefore w:val="1"/>
          <w:gridAfter w:val="1"/>
          <w:wBefore w:w="72" w:type="dxa"/>
          <w:wAfter w:w="342" w:type="dxa"/>
          <w:trHeight w:val="360"/>
        </w:trPr>
        <w:tc>
          <w:tcPr>
            <w:tcW w:w="9576" w:type="dxa"/>
            <w:gridSpan w:val="3"/>
          </w:tcPr>
          <w:p w:rsidR="000A7539" w:rsidRPr="001C3025" w:rsidRDefault="000A7539" w:rsidP="008C0BBA">
            <w:pPr>
              <w:tabs>
                <w:tab w:val="left" w:pos="270"/>
              </w:tabs>
              <w:spacing w:before="60" w:after="60"/>
            </w:pPr>
            <w:r>
              <w:rPr>
                <w:rFonts w:cs="Arial"/>
                <w:b/>
                <w:szCs w:val="20"/>
              </w:rPr>
              <w:t>*</w:t>
            </w:r>
            <w:r w:rsidRPr="001C5295">
              <w:rPr>
                <w:rFonts w:cs="Arial"/>
                <w:b/>
                <w:szCs w:val="20"/>
              </w:rPr>
              <w:t>*Note</w:t>
            </w:r>
            <w:r>
              <w:rPr>
                <w:rFonts w:cs="Arial"/>
                <w:szCs w:val="20"/>
              </w:rPr>
              <w:t xml:space="preserve"> Regarding the Environment Act Licence for operation of the program, it is the City’s intention to enter into an agreement with the Contractor to transfer the responsibility of specific clauses to the Contractor.</w:t>
            </w:r>
          </w:p>
        </w:tc>
      </w:tr>
      <w:tr w:rsidR="000A7539" w:rsidTr="00920A9F">
        <w:trPr>
          <w:gridBefore w:val="1"/>
          <w:gridAfter w:val="1"/>
          <w:wBefore w:w="72" w:type="dxa"/>
          <w:wAfter w:w="342" w:type="dxa"/>
          <w:trHeight w:val="4751"/>
        </w:trPr>
        <w:tc>
          <w:tcPr>
            <w:tcW w:w="9576" w:type="dxa"/>
            <w:gridSpan w:val="3"/>
          </w:tcPr>
          <w:p w:rsidR="000A7539" w:rsidRDefault="000A7539" w:rsidP="0013733B">
            <w:pPr>
              <w:spacing w:before="120" w:after="120"/>
              <w:rPr>
                <w:b/>
              </w:rPr>
            </w:pPr>
            <w:r>
              <w:rPr>
                <w:b/>
              </w:rPr>
              <w:t>4.4</w:t>
            </w:r>
            <w:r w:rsidRPr="0027530A">
              <w:rPr>
                <w:b/>
              </w:rPr>
              <w:t xml:space="preserve"> P</w:t>
            </w:r>
            <w:r>
              <w:rPr>
                <w:b/>
              </w:rPr>
              <w:t>rovide input on the Risk Matrix for Option B: Season</w:t>
            </w:r>
            <w:r w:rsidR="00F10536">
              <w:rPr>
                <w:b/>
              </w:rPr>
              <w:t>al</w:t>
            </w:r>
            <w:r>
              <w:rPr>
                <w:b/>
              </w:rPr>
              <w:t xml:space="preserve"> Application Program plus Winter Storage Facility</w:t>
            </w:r>
            <w:r w:rsidR="00F10536">
              <w:rPr>
                <w:b/>
              </w:rPr>
              <w:t xml:space="preserve">: </w:t>
            </w:r>
          </w:p>
          <w:p w:rsidR="000A7539" w:rsidRPr="0027530A" w:rsidRDefault="000A7539" w:rsidP="0013733B">
            <w:pPr>
              <w:spacing w:before="120" w:after="120"/>
              <w:rPr>
                <w:b/>
              </w:rPr>
            </w:pPr>
          </w:p>
        </w:tc>
      </w:tr>
      <w:bookmarkEnd w:id="0"/>
    </w:tbl>
    <w:p w:rsidR="00507B7A" w:rsidRDefault="00507B7A" w:rsidP="000A7539">
      <w:pPr>
        <w:spacing w:after="200" w:line="276" w:lineRule="auto"/>
      </w:pPr>
    </w:p>
    <w:sectPr w:rsidR="00507B7A" w:rsidSect="005E3A34">
      <w:headerReference w:type="default" r:id="rId17"/>
      <w:pgSz w:w="12240" w:h="15840"/>
      <w:pgMar w:top="1296" w:right="1440" w:bottom="1152"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23" w:rsidRDefault="001C0F23" w:rsidP="00EE2646">
      <w:r>
        <w:separator/>
      </w:r>
    </w:p>
  </w:endnote>
  <w:endnote w:type="continuationSeparator" w:id="0">
    <w:p w:rsidR="001C0F23" w:rsidRDefault="001C0F23" w:rsidP="00EE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23" w:rsidRDefault="001C0F23" w:rsidP="00EE2646">
      <w:r>
        <w:separator/>
      </w:r>
    </w:p>
  </w:footnote>
  <w:footnote w:type="continuationSeparator" w:id="0">
    <w:p w:rsidR="001C0F23" w:rsidRDefault="001C0F23" w:rsidP="00EE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4D" w:rsidRDefault="0095364D" w:rsidP="0095364D">
    <w:pPr>
      <w:pStyle w:val="Header1"/>
    </w:pPr>
    <w:r w:rsidRPr="0011136F">
      <w:t>The City of Winnipeg</w:t>
    </w:r>
    <w:r w:rsidRPr="0011136F">
      <w:tab/>
    </w:r>
    <w:r>
      <w:t>Information Submission</w:t>
    </w:r>
  </w:p>
  <w:p w:rsidR="0095364D" w:rsidRPr="007F4D47" w:rsidRDefault="0095364D" w:rsidP="0095364D">
    <w:pPr>
      <w:pStyle w:val="Header1"/>
      <w:rPr>
        <w:rStyle w:val="PageNumber"/>
        <w:sz w:val="20"/>
        <w:szCs w:val="20"/>
        <w:lang w:val="fr-CA"/>
      </w:rPr>
    </w:pP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6F6901">
      <w:t xml:space="preserve"> </w:t>
    </w:r>
    <w:r>
      <w:rPr>
        <w:rFonts w:cs="Arial"/>
      </w:rPr>
      <w:t>RFI No.</w:t>
    </w:r>
    <w:r w:rsidRPr="006F6901">
      <w:rPr>
        <w:rFonts w:cs="Arial"/>
        <w:lang w:val="fr-CA"/>
      </w:rPr>
      <w:t xml:space="preserve"> 1112-2015</w:t>
    </w:r>
    <w:r>
      <w:rPr>
        <w:rFonts w:cs="Arial"/>
      </w:rPr>
      <w:t xml:space="preserve"> </w:t>
    </w:r>
    <w:r w:rsidRPr="0011136F">
      <w:fldChar w:fldCharType="end"/>
    </w:r>
    <w:r>
      <w:rPr>
        <w:lang w:val="fr-CA"/>
      </w:rPr>
      <w:tab/>
    </w:r>
    <w:r>
      <w:t xml:space="preserve">Page </w:t>
    </w:r>
    <w:r>
      <w:fldChar w:fldCharType="begin"/>
    </w:r>
    <w:r>
      <w:instrText xml:space="preserve"> PAGE </w:instrText>
    </w:r>
    <w:r>
      <w:fldChar w:fldCharType="separate"/>
    </w:r>
    <w:r w:rsidR="005E3A34">
      <w:rPr>
        <w:noProof/>
      </w:rPr>
      <w:t>15</w:t>
    </w:r>
    <w:r>
      <w:fldChar w:fldCharType="end"/>
    </w:r>
    <w:r>
      <w:t xml:space="preserve"> of </w:t>
    </w:r>
    <w:r>
      <w:fldChar w:fldCharType="begin"/>
    </w:r>
    <w:r>
      <w:instrText xml:space="preserve"> SECTIONPAGES  \* MERGEFORMAT </w:instrText>
    </w:r>
    <w:r>
      <w:fldChar w:fldCharType="separate"/>
    </w:r>
    <w:r w:rsidR="005E3A34">
      <w:rPr>
        <w:noProof/>
      </w:rPr>
      <w:t>15</w:t>
    </w:r>
    <w:r>
      <w:rPr>
        <w:noProof/>
      </w:rPr>
      <w:fldChar w:fldCharType="end"/>
    </w:r>
  </w:p>
  <w:p w:rsidR="001C0F23" w:rsidRDefault="0095364D" w:rsidP="0095364D">
    <w:pPr>
      <w:pStyle w:val="Header"/>
      <w:tabs>
        <w:tab w:val="clear" w:pos="4680"/>
        <w:tab w:val="clear" w:pos="9360"/>
        <w:tab w:val="left" w:pos="58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78F8"/>
    <w:multiLevelType w:val="hybridMultilevel"/>
    <w:tmpl w:val="1A98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1F"/>
    <w:rsid w:val="000038AB"/>
    <w:rsid w:val="00004592"/>
    <w:rsid w:val="00006C3A"/>
    <w:rsid w:val="00012097"/>
    <w:rsid w:val="00021B9B"/>
    <w:rsid w:val="00022D30"/>
    <w:rsid w:val="00023FDE"/>
    <w:rsid w:val="000252F4"/>
    <w:rsid w:val="00027BB3"/>
    <w:rsid w:val="00031614"/>
    <w:rsid w:val="00036473"/>
    <w:rsid w:val="0004033A"/>
    <w:rsid w:val="0004067E"/>
    <w:rsid w:val="00040B98"/>
    <w:rsid w:val="00045972"/>
    <w:rsid w:val="00053445"/>
    <w:rsid w:val="000646D7"/>
    <w:rsid w:val="00070495"/>
    <w:rsid w:val="000764CA"/>
    <w:rsid w:val="00080889"/>
    <w:rsid w:val="00096604"/>
    <w:rsid w:val="000A25FC"/>
    <w:rsid w:val="000A2C01"/>
    <w:rsid w:val="000A7539"/>
    <w:rsid w:val="000B17E9"/>
    <w:rsid w:val="000B5103"/>
    <w:rsid w:val="000C582F"/>
    <w:rsid w:val="000C679F"/>
    <w:rsid w:val="000C6C91"/>
    <w:rsid w:val="000E121D"/>
    <w:rsid w:val="000E2010"/>
    <w:rsid w:val="000E7FAB"/>
    <w:rsid w:val="000F134C"/>
    <w:rsid w:val="000F6859"/>
    <w:rsid w:val="001055E0"/>
    <w:rsid w:val="00106C6C"/>
    <w:rsid w:val="00107B39"/>
    <w:rsid w:val="00114349"/>
    <w:rsid w:val="00115E5D"/>
    <w:rsid w:val="001171A3"/>
    <w:rsid w:val="00121147"/>
    <w:rsid w:val="00121AC7"/>
    <w:rsid w:val="001243DD"/>
    <w:rsid w:val="0013196D"/>
    <w:rsid w:val="00133AA8"/>
    <w:rsid w:val="00135442"/>
    <w:rsid w:val="00135808"/>
    <w:rsid w:val="0013733B"/>
    <w:rsid w:val="00141A8F"/>
    <w:rsid w:val="0014224A"/>
    <w:rsid w:val="001428C9"/>
    <w:rsid w:val="0015327B"/>
    <w:rsid w:val="001626ED"/>
    <w:rsid w:val="00162F22"/>
    <w:rsid w:val="00167032"/>
    <w:rsid w:val="001724F8"/>
    <w:rsid w:val="001726FC"/>
    <w:rsid w:val="00172A81"/>
    <w:rsid w:val="00174028"/>
    <w:rsid w:val="00175F42"/>
    <w:rsid w:val="00180358"/>
    <w:rsid w:val="0018061B"/>
    <w:rsid w:val="00180D34"/>
    <w:rsid w:val="00181344"/>
    <w:rsid w:val="0018256E"/>
    <w:rsid w:val="00182795"/>
    <w:rsid w:val="00183321"/>
    <w:rsid w:val="00192B84"/>
    <w:rsid w:val="001A07A3"/>
    <w:rsid w:val="001A2264"/>
    <w:rsid w:val="001B6360"/>
    <w:rsid w:val="001C0F23"/>
    <w:rsid w:val="001C3025"/>
    <w:rsid w:val="001C5295"/>
    <w:rsid w:val="001C5EC6"/>
    <w:rsid w:val="001D0929"/>
    <w:rsid w:val="001D372C"/>
    <w:rsid w:val="001D7B69"/>
    <w:rsid w:val="001E1501"/>
    <w:rsid w:val="001E2172"/>
    <w:rsid w:val="001E27D6"/>
    <w:rsid w:val="001F637B"/>
    <w:rsid w:val="001F66CC"/>
    <w:rsid w:val="001F6D58"/>
    <w:rsid w:val="00200953"/>
    <w:rsid w:val="002076BD"/>
    <w:rsid w:val="002112F9"/>
    <w:rsid w:val="0021352B"/>
    <w:rsid w:val="002139C7"/>
    <w:rsid w:val="00220E79"/>
    <w:rsid w:val="0022151D"/>
    <w:rsid w:val="002409D6"/>
    <w:rsid w:val="00242E0F"/>
    <w:rsid w:val="00244DC6"/>
    <w:rsid w:val="00246BA9"/>
    <w:rsid w:val="00255825"/>
    <w:rsid w:val="00260FAA"/>
    <w:rsid w:val="002676AF"/>
    <w:rsid w:val="00272004"/>
    <w:rsid w:val="002750A9"/>
    <w:rsid w:val="0027530A"/>
    <w:rsid w:val="0027672F"/>
    <w:rsid w:val="0028208F"/>
    <w:rsid w:val="00287131"/>
    <w:rsid w:val="00292654"/>
    <w:rsid w:val="002A6189"/>
    <w:rsid w:val="002B41DC"/>
    <w:rsid w:val="002B65BE"/>
    <w:rsid w:val="002B7DA9"/>
    <w:rsid w:val="002C01DF"/>
    <w:rsid w:val="002C3229"/>
    <w:rsid w:val="002C5607"/>
    <w:rsid w:val="002E2909"/>
    <w:rsid w:val="002E3AC4"/>
    <w:rsid w:val="002E427D"/>
    <w:rsid w:val="002F5994"/>
    <w:rsid w:val="0030708E"/>
    <w:rsid w:val="003078AC"/>
    <w:rsid w:val="00316955"/>
    <w:rsid w:val="00316A77"/>
    <w:rsid w:val="003208FE"/>
    <w:rsid w:val="00320E65"/>
    <w:rsid w:val="0032642D"/>
    <w:rsid w:val="0032716C"/>
    <w:rsid w:val="00327893"/>
    <w:rsid w:val="003342EF"/>
    <w:rsid w:val="003363A5"/>
    <w:rsid w:val="00337208"/>
    <w:rsid w:val="0035254D"/>
    <w:rsid w:val="00353741"/>
    <w:rsid w:val="003567A2"/>
    <w:rsid w:val="003612A3"/>
    <w:rsid w:val="00362160"/>
    <w:rsid w:val="0036340B"/>
    <w:rsid w:val="00365904"/>
    <w:rsid w:val="00373C6D"/>
    <w:rsid w:val="0038423D"/>
    <w:rsid w:val="003853AD"/>
    <w:rsid w:val="0038568E"/>
    <w:rsid w:val="00386B78"/>
    <w:rsid w:val="00393FD6"/>
    <w:rsid w:val="00394B6C"/>
    <w:rsid w:val="003976A3"/>
    <w:rsid w:val="003A28CE"/>
    <w:rsid w:val="003A67BC"/>
    <w:rsid w:val="003A6CDA"/>
    <w:rsid w:val="003A734C"/>
    <w:rsid w:val="003B3B4B"/>
    <w:rsid w:val="003B610C"/>
    <w:rsid w:val="003B62FB"/>
    <w:rsid w:val="003C10BA"/>
    <w:rsid w:val="003C4FC6"/>
    <w:rsid w:val="003C72F3"/>
    <w:rsid w:val="003C7827"/>
    <w:rsid w:val="003D076B"/>
    <w:rsid w:val="003D239A"/>
    <w:rsid w:val="003E1645"/>
    <w:rsid w:val="003E2A4C"/>
    <w:rsid w:val="003E43AE"/>
    <w:rsid w:val="003F3825"/>
    <w:rsid w:val="003F582A"/>
    <w:rsid w:val="003F5FD4"/>
    <w:rsid w:val="003F7360"/>
    <w:rsid w:val="00400995"/>
    <w:rsid w:val="00400DCF"/>
    <w:rsid w:val="00400EAE"/>
    <w:rsid w:val="00400EDD"/>
    <w:rsid w:val="0040268A"/>
    <w:rsid w:val="00404996"/>
    <w:rsid w:val="00410A96"/>
    <w:rsid w:val="0041143E"/>
    <w:rsid w:val="00414131"/>
    <w:rsid w:val="00415596"/>
    <w:rsid w:val="004167FF"/>
    <w:rsid w:val="004208E4"/>
    <w:rsid w:val="00422322"/>
    <w:rsid w:val="004262F5"/>
    <w:rsid w:val="004464B0"/>
    <w:rsid w:val="004473C7"/>
    <w:rsid w:val="00451F8D"/>
    <w:rsid w:val="00454E8F"/>
    <w:rsid w:val="0045713B"/>
    <w:rsid w:val="004627F3"/>
    <w:rsid w:val="0047231C"/>
    <w:rsid w:val="004825B5"/>
    <w:rsid w:val="00491BA2"/>
    <w:rsid w:val="00494299"/>
    <w:rsid w:val="00494BC6"/>
    <w:rsid w:val="004956CE"/>
    <w:rsid w:val="00496CC0"/>
    <w:rsid w:val="00497097"/>
    <w:rsid w:val="004A1A0F"/>
    <w:rsid w:val="004A3140"/>
    <w:rsid w:val="004A40BE"/>
    <w:rsid w:val="004A707B"/>
    <w:rsid w:val="004B441C"/>
    <w:rsid w:val="004B62C1"/>
    <w:rsid w:val="004C394C"/>
    <w:rsid w:val="004C60E7"/>
    <w:rsid w:val="004D0247"/>
    <w:rsid w:val="004D45C0"/>
    <w:rsid w:val="004E113C"/>
    <w:rsid w:val="004F2690"/>
    <w:rsid w:val="004F2F36"/>
    <w:rsid w:val="004F493A"/>
    <w:rsid w:val="00500461"/>
    <w:rsid w:val="00504F1F"/>
    <w:rsid w:val="0050565A"/>
    <w:rsid w:val="00507B7A"/>
    <w:rsid w:val="00517F56"/>
    <w:rsid w:val="00520E9D"/>
    <w:rsid w:val="00521B96"/>
    <w:rsid w:val="0052296F"/>
    <w:rsid w:val="0053105D"/>
    <w:rsid w:val="00532595"/>
    <w:rsid w:val="00533C2A"/>
    <w:rsid w:val="00540456"/>
    <w:rsid w:val="0054420C"/>
    <w:rsid w:val="00546D44"/>
    <w:rsid w:val="00550595"/>
    <w:rsid w:val="00552D8B"/>
    <w:rsid w:val="005607D2"/>
    <w:rsid w:val="00576695"/>
    <w:rsid w:val="00580E46"/>
    <w:rsid w:val="0058387E"/>
    <w:rsid w:val="0058391B"/>
    <w:rsid w:val="005846FB"/>
    <w:rsid w:val="00586361"/>
    <w:rsid w:val="00587AB8"/>
    <w:rsid w:val="00593EB0"/>
    <w:rsid w:val="005965E6"/>
    <w:rsid w:val="005A6D08"/>
    <w:rsid w:val="005B14EA"/>
    <w:rsid w:val="005B43AD"/>
    <w:rsid w:val="005C24AB"/>
    <w:rsid w:val="005C2948"/>
    <w:rsid w:val="005C32E1"/>
    <w:rsid w:val="005D0AEC"/>
    <w:rsid w:val="005D4A13"/>
    <w:rsid w:val="005E3A34"/>
    <w:rsid w:val="005F0EFA"/>
    <w:rsid w:val="005F110F"/>
    <w:rsid w:val="005F1D01"/>
    <w:rsid w:val="0060203C"/>
    <w:rsid w:val="006036C6"/>
    <w:rsid w:val="00607096"/>
    <w:rsid w:val="00611EAC"/>
    <w:rsid w:val="00626EF6"/>
    <w:rsid w:val="00631920"/>
    <w:rsid w:val="00633105"/>
    <w:rsid w:val="00635F5A"/>
    <w:rsid w:val="006409A7"/>
    <w:rsid w:val="00645540"/>
    <w:rsid w:val="00652016"/>
    <w:rsid w:val="0065332D"/>
    <w:rsid w:val="006538A4"/>
    <w:rsid w:val="0066546B"/>
    <w:rsid w:val="0066724E"/>
    <w:rsid w:val="00672876"/>
    <w:rsid w:val="006748F4"/>
    <w:rsid w:val="00676AFD"/>
    <w:rsid w:val="006837F9"/>
    <w:rsid w:val="00693E76"/>
    <w:rsid w:val="006A01D9"/>
    <w:rsid w:val="006B0AFD"/>
    <w:rsid w:val="006B3AF7"/>
    <w:rsid w:val="006B654B"/>
    <w:rsid w:val="006D0438"/>
    <w:rsid w:val="006D1A4B"/>
    <w:rsid w:val="006D6F5A"/>
    <w:rsid w:val="006D7A55"/>
    <w:rsid w:val="006E32B4"/>
    <w:rsid w:val="006F04B1"/>
    <w:rsid w:val="006F1168"/>
    <w:rsid w:val="00706B2B"/>
    <w:rsid w:val="007070A8"/>
    <w:rsid w:val="00712547"/>
    <w:rsid w:val="0072006F"/>
    <w:rsid w:val="00725133"/>
    <w:rsid w:val="00725DA8"/>
    <w:rsid w:val="007304DE"/>
    <w:rsid w:val="00746FAE"/>
    <w:rsid w:val="00750BDE"/>
    <w:rsid w:val="00750D0F"/>
    <w:rsid w:val="00753713"/>
    <w:rsid w:val="007539C1"/>
    <w:rsid w:val="00753CC8"/>
    <w:rsid w:val="00754C2F"/>
    <w:rsid w:val="00754E1D"/>
    <w:rsid w:val="007579C0"/>
    <w:rsid w:val="00761DC8"/>
    <w:rsid w:val="00763B4E"/>
    <w:rsid w:val="007765AB"/>
    <w:rsid w:val="007770E2"/>
    <w:rsid w:val="00781241"/>
    <w:rsid w:val="0078262A"/>
    <w:rsid w:val="00782C8B"/>
    <w:rsid w:val="007901D4"/>
    <w:rsid w:val="007A0C67"/>
    <w:rsid w:val="007A2B6C"/>
    <w:rsid w:val="007A5CB6"/>
    <w:rsid w:val="007B32D5"/>
    <w:rsid w:val="007B42B1"/>
    <w:rsid w:val="007B53D7"/>
    <w:rsid w:val="007C1D90"/>
    <w:rsid w:val="007C20F7"/>
    <w:rsid w:val="007C7B6F"/>
    <w:rsid w:val="007D2A9F"/>
    <w:rsid w:val="007D6D59"/>
    <w:rsid w:val="007E0361"/>
    <w:rsid w:val="007F175A"/>
    <w:rsid w:val="007F2B60"/>
    <w:rsid w:val="007F2BC7"/>
    <w:rsid w:val="007F2DCC"/>
    <w:rsid w:val="007F2F33"/>
    <w:rsid w:val="007F3856"/>
    <w:rsid w:val="00804861"/>
    <w:rsid w:val="00810993"/>
    <w:rsid w:val="00821A76"/>
    <w:rsid w:val="008240AE"/>
    <w:rsid w:val="00826258"/>
    <w:rsid w:val="00826679"/>
    <w:rsid w:val="00833C97"/>
    <w:rsid w:val="00833CE0"/>
    <w:rsid w:val="00850F2B"/>
    <w:rsid w:val="00867742"/>
    <w:rsid w:val="0087038F"/>
    <w:rsid w:val="0087069D"/>
    <w:rsid w:val="00871092"/>
    <w:rsid w:val="0087635F"/>
    <w:rsid w:val="00876541"/>
    <w:rsid w:val="0088455C"/>
    <w:rsid w:val="0088675A"/>
    <w:rsid w:val="0088743C"/>
    <w:rsid w:val="00897140"/>
    <w:rsid w:val="008A1DDA"/>
    <w:rsid w:val="008A2EA8"/>
    <w:rsid w:val="008A6BE7"/>
    <w:rsid w:val="008A7C96"/>
    <w:rsid w:val="008B25E5"/>
    <w:rsid w:val="008B7E5B"/>
    <w:rsid w:val="008C0BBA"/>
    <w:rsid w:val="008C0DF5"/>
    <w:rsid w:val="008D32FA"/>
    <w:rsid w:val="008E31E2"/>
    <w:rsid w:val="008E4929"/>
    <w:rsid w:val="008E4CE3"/>
    <w:rsid w:val="008E5FBC"/>
    <w:rsid w:val="008F2E5B"/>
    <w:rsid w:val="008F77A4"/>
    <w:rsid w:val="00902056"/>
    <w:rsid w:val="0090487A"/>
    <w:rsid w:val="009054F4"/>
    <w:rsid w:val="00905C54"/>
    <w:rsid w:val="00913727"/>
    <w:rsid w:val="00915579"/>
    <w:rsid w:val="009163DA"/>
    <w:rsid w:val="00920A9F"/>
    <w:rsid w:val="00922F3B"/>
    <w:rsid w:val="00937689"/>
    <w:rsid w:val="0094015A"/>
    <w:rsid w:val="00942611"/>
    <w:rsid w:val="00942F0E"/>
    <w:rsid w:val="00946DB0"/>
    <w:rsid w:val="0095364D"/>
    <w:rsid w:val="00956D54"/>
    <w:rsid w:val="009570F0"/>
    <w:rsid w:val="0097683E"/>
    <w:rsid w:val="00983F00"/>
    <w:rsid w:val="009855A5"/>
    <w:rsid w:val="00986B8F"/>
    <w:rsid w:val="00996191"/>
    <w:rsid w:val="009A2C1A"/>
    <w:rsid w:val="009A636D"/>
    <w:rsid w:val="009B29A1"/>
    <w:rsid w:val="009B6E2C"/>
    <w:rsid w:val="009C6F9E"/>
    <w:rsid w:val="009D14D6"/>
    <w:rsid w:val="009D285E"/>
    <w:rsid w:val="009E626A"/>
    <w:rsid w:val="009E63AD"/>
    <w:rsid w:val="009F5E0E"/>
    <w:rsid w:val="00A01A40"/>
    <w:rsid w:val="00A03159"/>
    <w:rsid w:val="00A14847"/>
    <w:rsid w:val="00A14C41"/>
    <w:rsid w:val="00A2097A"/>
    <w:rsid w:val="00A20E6B"/>
    <w:rsid w:val="00A25444"/>
    <w:rsid w:val="00A4231B"/>
    <w:rsid w:val="00A5454D"/>
    <w:rsid w:val="00A55E41"/>
    <w:rsid w:val="00A562AA"/>
    <w:rsid w:val="00A56F2C"/>
    <w:rsid w:val="00A61444"/>
    <w:rsid w:val="00A63E83"/>
    <w:rsid w:val="00A71176"/>
    <w:rsid w:val="00A7149B"/>
    <w:rsid w:val="00A718F6"/>
    <w:rsid w:val="00A7249F"/>
    <w:rsid w:val="00A74B7D"/>
    <w:rsid w:val="00A77DF2"/>
    <w:rsid w:val="00A80378"/>
    <w:rsid w:val="00A82263"/>
    <w:rsid w:val="00A845ED"/>
    <w:rsid w:val="00A86A6C"/>
    <w:rsid w:val="00A92434"/>
    <w:rsid w:val="00A935E5"/>
    <w:rsid w:val="00A97598"/>
    <w:rsid w:val="00A975CE"/>
    <w:rsid w:val="00AA5BA9"/>
    <w:rsid w:val="00AA6552"/>
    <w:rsid w:val="00AA7D88"/>
    <w:rsid w:val="00AB2360"/>
    <w:rsid w:val="00AC21D2"/>
    <w:rsid w:val="00AC642F"/>
    <w:rsid w:val="00AD0E3C"/>
    <w:rsid w:val="00AD0EB4"/>
    <w:rsid w:val="00AE1AEC"/>
    <w:rsid w:val="00AE3B02"/>
    <w:rsid w:val="00AE40D8"/>
    <w:rsid w:val="00AE54E8"/>
    <w:rsid w:val="00AF1990"/>
    <w:rsid w:val="00AF29A6"/>
    <w:rsid w:val="00AF42BB"/>
    <w:rsid w:val="00AF65AE"/>
    <w:rsid w:val="00B012C5"/>
    <w:rsid w:val="00B07C35"/>
    <w:rsid w:val="00B141B9"/>
    <w:rsid w:val="00B42627"/>
    <w:rsid w:val="00B4329A"/>
    <w:rsid w:val="00B4463F"/>
    <w:rsid w:val="00B4564D"/>
    <w:rsid w:val="00B4619F"/>
    <w:rsid w:val="00B46EDA"/>
    <w:rsid w:val="00B47D94"/>
    <w:rsid w:val="00B54113"/>
    <w:rsid w:val="00B5478F"/>
    <w:rsid w:val="00B55E2C"/>
    <w:rsid w:val="00B627A6"/>
    <w:rsid w:val="00B70CB2"/>
    <w:rsid w:val="00B75552"/>
    <w:rsid w:val="00B77E81"/>
    <w:rsid w:val="00B81273"/>
    <w:rsid w:val="00B858CA"/>
    <w:rsid w:val="00B9395C"/>
    <w:rsid w:val="00B94228"/>
    <w:rsid w:val="00B954E3"/>
    <w:rsid w:val="00B95D41"/>
    <w:rsid w:val="00BA02ED"/>
    <w:rsid w:val="00BB0ECC"/>
    <w:rsid w:val="00BB4F2A"/>
    <w:rsid w:val="00BB5823"/>
    <w:rsid w:val="00BB6775"/>
    <w:rsid w:val="00BB7468"/>
    <w:rsid w:val="00BB7B71"/>
    <w:rsid w:val="00BC6EF3"/>
    <w:rsid w:val="00BD3583"/>
    <w:rsid w:val="00BD359E"/>
    <w:rsid w:val="00BD4A55"/>
    <w:rsid w:val="00BD5461"/>
    <w:rsid w:val="00BD5686"/>
    <w:rsid w:val="00BD65BE"/>
    <w:rsid w:val="00BE2688"/>
    <w:rsid w:val="00BF158C"/>
    <w:rsid w:val="00BF4571"/>
    <w:rsid w:val="00BF4C96"/>
    <w:rsid w:val="00C03B25"/>
    <w:rsid w:val="00C04B59"/>
    <w:rsid w:val="00C060D9"/>
    <w:rsid w:val="00C06797"/>
    <w:rsid w:val="00C068B1"/>
    <w:rsid w:val="00C215D9"/>
    <w:rsid w:val="00C2197A"/>
    <w:rsid w:val="00C54A2A"/>
    <w:rsid w:val="00C62846"/>
    <w:rsid w:val="00C635FB"/>
    <w:rsid w:val="00C65472"/>
    <w:rsid w:val="00C71552"/>
    <w:rsid w:val="00C73690"/>
    <w:rsid w:val="00C75A7F"/>
    <w:rsid w:val="00C77BE9"/>
    <w:rsid w:val="00C77C6C"/>
    <w:rsid w:val="00C81133"/>
    <w:rsid w:val="00C920E8"/>
    <w:rsid w:val="00C93F90"/>
    <w:rsid w:val="00C95F3F"/>
    <w:rsid w:val="00C974B1"/>
    <w:rsid w:val="00CA1728"/>
    <w:rsid w:val="00CA76F6"/>
    <w:rsid w:val="00CA77EA"/>
    <w:rsid w:val="00CA7916"/>
    <w:rsid w:val="00CB2136"/>
    <w:rsid w:val="00CB342C"/>
    <w:rsid w:val="00CB4CAA"/>
    <w:rsid w:val="00CC2C00"/>
    <w:rsid w:val="00CC3614"/>
    <w:rsid w:val="00CD494D"/>
    <w:rsid w:val="00CD56A7"/>
    <w:rsid w:val="00CD64B8"/>
    <w:rsid w:val="00CD750F"/>
    <w:rsid w:val="00CD78C5"/>
    <w:rsid w:val="00CD78E0"/>
    <w:rsid w:val="00CE3D73"/>
    <w:rsid w:val="00CE3F3D"/>
    <w:rsid w:val="00CE4C6E"/>
    <w:rsid w:val="00CE521D"/>
    <w:rsid w:val="00CE5E3C"/>
    <w:rsid w:val="00CE6A61"/>
    <w:rsid w:val="00CF60B5"/>
    <w:rsid w:val="00CF62E9"/>
    <w:rsid w:val="00D01F88"/>
    <w:rsid w:val="00D064B4"/>
    <w:rsid w:val="00D06659"/>
    <w:rsid w:val="00D12D5D"/>
    <w:rsid w:val="00D17B14"/>
    <w:rsid w:val="00D17D69"/>
    <w:rsid w:val="00D27D43"/>
    <w:rsid w:val="00D31315"/>
    <w:rsid w:val="00D31952"/>
    <w:rsid w:val="00D40A83"/>
    <w:rsid w:val="00D4391A"/>
    <w:rsid w:val="00D4620D"/>
    <w:rsid w:val="00D5142F"/>
    <w:rsid w:val="00D53609"/>
    <w:rsid w:val="00D577A4"/>
    <w:rsid w:val="00D745C6"/>
    <w:rsid w:val="00D75694"/>
    <w:rsid w:val="00D76A55"/>
    <w:rsid w:val="00D77A58"/>
    <w:rsid w:val="00D8156F"/>
    <w:rsid w:val="00D83105"/>
    <w:rsid w:val="00D83CCD"/>
    <w:rsid w:val="00D847FB"/>
    <w:rsid w:val="00D91C89"/>
    <w:rsid w:val="00D926F3"/>
    <w:rsid w:val="00D93188"/>
    <w:rsid w:val="00D938FB"/>
    <w:rsid w:val="00D950CC"/>
    <w:rsid w:val="00D95E6B"/>
    <w:rsid w:val="00D96E2B"/>
    <w:rsid w:val="00D97BCE"/>
    <w:rsid w:val="00DA6964"/>
    <w:rsid w:val="00DB054E"/>
    <w:rsid w:val="00DB265C"/>
    <w:rsid w:val="00DB58F5"/>
    <w:rsid w:val="00DB5D32"/>
    <w:rsid w:val="00DC3F2E"/>
    <w:rsid w:val="00DC4AED"/>
    <w:rsid w:val="00DD19C4"/>
    <w:rsid w:val="00DD7754"/>
    <w:rsid w:val="00DE1FFC"/>
    <w:rsid w:val="00DF3DB3"/>
    <w:rsid w:val="00DF5487"/>
    <w:rsid w:val="00DF746B"/>
    <w:rsid w:val="00E02C9E"/>
    <w:rsid w:val="00E032C5"/>
    <w:rsid w:val="00E242C0"/>
    <w:rsid w:val="00E26F48"/>
    <w:rsid w:val="00E309CD"/>
    <w:rsid w:val="00E51B1F"/>
    <w:rsid w:val="00E554B2"/>
    <w:rsid w:val="00E6271F"/>
    <w:rsid w:val="00E73957"/>
    <w:rsid w:val="00E76494"/>
    <w:rsid w:val="00E85F5D"/>
    <w:rsid w:val="00E871AB"/>
    <w:rsid w:val="00E9199D"/>
    <w:rsid w:val="00E94848"/>
    <w:rsid w:val="00E96436"/>
    <w:rsid w:val="00E96685"/>
    <w:rsid w:val="00EA1155"/>
    <w:rsid w:val="00EA4688"/>
    <w:rsid w:val="00EA4766"/>
    <w:rsid w:val="00EA4A43"/>
    <w:rsid w:val="00EA55F2"/>
    <w:rsid w:val="00EA5A6D"/>
    <w:rsid w:val="00EA6ED1"/>
    <w:rsid w:val="00EA7FD5"/>
    <w:rsid w:val="00EB7265"/>
    <w:rsid w:val="00EC104D"/>
    <w:rsid w:val="00EC246F"/>
    <w:rsid w:val="00EC40B5"/>
    <w:rsid w:val="00EC464C"/>
    <w:rsid w:val="00EC69CC"/>
    <w:rsid w:val="00ED0270"/>
    <w:rsid w:val="00ED5B6B"/>
    <w:rsid w:val="00ED5E88"/>
    <w:rsid w:val="00EE2646"/>
    <w:rsid w:val="00EE5834"/>
    <w:rsid w:val="00EE7E9A"/>
    <w:rsid w:val="00EF4123"/>
    <w:rsid w:val="00EF66C7"/>
    <w:rsid w:val="00F054F6"/>
    <w:rsid w:val="00F10536"/>
    <w:rsid w:val="00F158D4"/>
    <w:rsid w:val="00F161FA"/>
    <w:rsid w:val="00F21E89"/>
    <w:rsid w:val="00F3002C"/>
    <w:rsid w:val="00F314E1"/>
    <w:rsid w:val="00F3184B"/>
    <w:rsid w:val="00F31AC0"/>
    <w:rsid w:val="00F32807"/>
    <w:rsid w:val="00F332E7"/>
    <w:rsid w:val="00F33D53"/>
    <w:rsid w:val="00F359C8"/>
    <w:rsid w:val="00F401F5"/>
    <w:rsid w:val="00F41C76"/>
    <w:rsid w:val="00F44012"/>
    <w:rsid w:val="00F44517"/>
    <w:rsid w:val="00F55C49"/>
    <w:rsid w:val="00F6148E"/>
    <w:rsid w:val="00F62AB1"/>
    <w:rsid w:val="00F72FDA"/>
    <w:rsid w:val="00F73BF7"/>
    <w:rsid w:val="00F74D9E"/>
    <w:rsid w:val="00F74EEC"/>
    <w:rsid w:val="00F81BE5"/>
    <w:rsid w:val="00F8783F"/>
    <w:rsid w:val="00F919A2"/>
    <w:rsid w:val="00F95E91"/>
    <w:rsid w:val="00FA1383"/>
    <w:rsid w:val="00FA4A3D"/>
    <w:rsid w:val="00FA5637"/>
    <w:rsid w:val="00FA7F33"/>
    <w:rsid w:val="00FB1755"/>
    <w:rsid w:val="00FC226A"/>
    <w:rsid w:val="00FC39E0"/>
    <w:rsid w:val="00FD2B9D"/>
    <w:rsid w:val="00FD4159"/>
    <w:rsid w:val="00FD53F7"/>
    <w:rsid w:val="00FE5A86"/>
    <w:rsid w:val="00FE5D53"/>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36"/>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HEADING">
    <w:name w:val="FORMHEADING"/>
    <w:basedOn w:val="Normal"/>
    <w:next w:val="Normal"/>
    <w:link w:val="FORMHEADINGChar"/>
    <w:rsid w:val="00BD65BE"/>
    <w:pPr>
      <w:pageBreakBefore/>
      <w:jc w:val="center"/>
    </w:pPr>
    <w:rPr>
      <w:b/>
      <w:bCs/>
      <w:caps/>
    </w:rPr>
  </w:style>
  <w:style w:type="character" w:customStyle="1" w:styleId="FORMHEADINGChar">
    <w:name w:val="FORMHEADING Char"/>
    <w:link w:val="FORMHEADING"/>
    <w:rsid w:val="00BD65BE"/>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EE2646"/>
    <w:pPr>
      <w:tabs>
        <w:tab w:val="center" w:pos="4680"/>
        <w:tab w:val="right" w:pos="9360"/>
      </w:tabs>
    </w:pPr>
  </w:style>
  <w:style w:type="character" w:customStyle="1" w:styleId="HeaderChar">
    <w:name w:val="Header Char"/>
    <w:basedOn w:val="DefaultParagraphFont"/>
    <w:link w:val="Header"/>
    <w:uiPriority w:val="99"/>
    <w:rsid w:val="00EE2646"/>
    <w:rPr>
      <w:rFonts w:ascii="Arial" w:eastAsia="Times New Roman" w:hAnsi="Arial" w:cs="Times New Roman"/>
      <w:sz w:val="20"/>
      <w:szCs w:val="24"/>
      <w:lang w:val="en-CA"/>
    </w:rPr>
  </w:style>
  <w:style w:type="paragraph" w:styleId="Footer">
    <w:name w:val="footer"/>
    <w:basedOn w:val="Normal"/>
    <w:link w:val="FooterChar"/>
    <w:uiPriority w:val="99"/>
    <w:unhideWhenUsed/>
    <w:rsid w:val="00EE2646"/>
    <w:pPr>
      <w:tabs>
        <w:tab w:val="center" w:pos="4680"/>
        <w:tab w:val="right" w:pos="9360"/>
      </w:tabs>
    </w:pPr>
  </w:style>
  <w:style w:type="character" w:customStyle="1" w:styleId="FooterChar">
    <w:name w:val="Footer Char"/>
    <w:basedOn w:val="DefaultParagraphFont"/>
    <w:link w:val="Footer"/>
    <w:uiPriority w:val="99"/>
    <w:rsid w:val="00EE2646"/>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4C60E7"/>
    <w:rPr>
      <w:rFonts w:ascii="Tahoma" w:hAnsi="Tahoma" w:cs="Tahoma"/>
      <w:sz w:val="16"/>
      <w:szCs w:val="16"/>
    </w:rPr>
  </w:style>
  <w:style w:type="character" w:customStyle="1" w:styleId="BalloonTextChar">
    <w:name w:val="Balloon Text Char"/>
    <w:basedOn w:val="DefaultParagraphFont"/>
    <w:link w:val="BalloonText"/>
    <w:uiPriority w:val="99"/>
    <w:semiHidden/>
    <w:rsid w:val="004C60E7"/>
    <w:rPr>
      <w:rFonts w:ascii="Tahoma" w:eastAsia="Times New Roman" w:hAnsi="Tahoma" w:cs="Tahoma"/>
      <w:sz w:val="16"/>
      <w:szCs w:val="16"/>
      <w:lang w:val="en-CA"/>
    </w:rPr>
  </w:style>
  <w:style w:type="character" w:styleId="Hyperlink">
    <w:name w:val="Hyperlink"/>
    <w:basedOn w:val="DefaultParagraphFont"/>
    <w:uiPriority w:val="99"/>
    <w:unhideWhenUsed/>
    <w:rsid w:val="007579C0"/>
    <w:rPr>
      <w:color w:val="0000FF" w:themeColor="hyperlink"/>
      <w:u w:val="single"/>
    </w:rPr>
  </w:style>
  <w:style w:type="paragraph" w:styleId="ListParagraph">
    <w:name w:val="List Paragraph"/>
    <w:basedOn w:val="Normal"/>
    <w:uiPriority w:val="34"/>
    <w:qFormat/>
    <w:rsid w:val="00BE2688"/>
    <w:pPr>
      <w:ind w:left="720"/>
      <w:contextualSpacing/>
    </w:pPr>
  </w:style>
  <w:style w:type="character" w:styleId="CommentReference">
    <w:name w:val="annotation reference"/>
    <w:basedOn w:val="DefaultParagraphFont"/>
    <w:uiPriority w:val="99"/>
    <w:semiHidden/>
    <w:unhideWhenUsed/>
    <w:rsid w:val="00023FDE"/>
    <w:rPr>
      <w:sz w:val="16"/>
      <w:szCs w:val="16"/>
    </w:rPr>
  </w:style>
  <w:style w:type="paragraph" w:styleId="CommentText">
    <w:name w:val="annotation text"/>
    <w:basedOn w:val="Normal"/>
    <w:link w:val="CommentTextChar"/>
    <w:uiPriority w:val="99"/>
    <w:semiHidden/>
    <w:unhideWhenUsed/>
    <w:rsid w:val="00023FDE"/>
    <w:rPr>
      <w:szCs w:val="20"/>
    </w:rPr>
  </w:style>
  <w:style w:type="character" w:customStyle="1" w:styleId="CommentTextChar">
    <w:name w:val="Comment Text Char"/>
    <w:basedOn w:val="DefaultParagraphFont"/>
    <w:link w:val="CommentText"/>
    <w:uiPriority w:val="99"/>
    <w:semiHidden/>
    <w:rsid w:val="00023FDE"/>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3FDE"/>
    <w:rPr>
      <w:b/>
      <w:bCs/>
    </w:rPr>
  </w:style>
  <w:style w:type="character" w:customStyle="1" w:styleId="CommentSubjectChar">
    <w:name w:val="Comment Subject Char"/>
    <w:basedOn w:val="CommentTextChar"/>
    <w:link w:val="CommentSubject"/>
    <w:uiPriority w:val="99"/>
    <w:semiHidden/>
    <w:rsid w:val="00023FDE"/>
    <w:rPr>
      <w:rFonts w:ascii="Arial" w:eastAsia="Times New Roman" w:hAnsi="Arial" w:cs="Times New Roman"/>
      <w:b/>
      <w:bCs/>
      <w:sz w:val="20"/>
      <w:szCs w:val="20"/>
      <w:lang w:val="en-CA"/>
    </w:rPr>
  </w:style>
  <w:style w:type="paragraph" w:customStyle="1" w:styleId="Header1">
    <w:name w:val="Header1"/>
    <w:basedOn w:val="Header"/>
    <w:rsid w:val="0095364D"/>
    <w:pPr>
      <w:tabs>
        <w:tab w:val="clear" w:pos="4680"/>
        <w:tab w:val="clear" w:pos="9360"/>
        <w:tab w:val="left" w:pos="7560"/>
      </w:tabs>
      <w:autoSpaceDE w:val="0"/>
      <w:autoSpaceDN w:val="0"/>
      <w:adjustRightInd w:val="0"/>
    </w:pPr>
    <w:rPr>
      <w:sz w:val="16"/>
      <w:szCs w:val="16"/>
      <w:lang w:val="en-US"/>
    </w:rPr>
  </w:style>
  <w:style w:type="character" w:styleId="PageNumber">
    <w:name w:val="page number"/>
    <w:basedOn w:val="DefaultParagraphFont"/>
    <w:rsid w:val="00953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36"/>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HEADING">
    <w:name w:val="FORMHEADING"/>
    <w:basedOn w:val="Normal"/>
    <w:next w:val="Normal"/>
    <w:link w:val="FORMHEADINGChar"/>
    <w:rsid w:val="00BD65BE"/>
    <w:pPr>
      <w:pageBreakBefore/>
      <w:jc w:val="center"/>
    </w:pPr>
    <w:rPr>
      <w:b/>
      <w:bCs/>
      <w:caps/>
    </w:rPr>
  </w:style>
  <w:style w:type="character" w:customStyle="1" w:styleId="FORMHEADINGChar">
    <w:name w:val="FORMHEADING Char"/>
    <w:link w:val="FORMHEADING"/>
    <w:rsid w:val="00BD65BE"/>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EE2646"/>
    <w:pPr>
      <w:tabs>
        <w:tab w:val="center" w:pos="4680"/>
        <w:tab w:val="right" w:pos="9360"/>
      </w:tabs>
    </w:pPr>
  </w:style>
  <w:style w:type="character" w:customStyle="1" w:styleId="HeaderChar">
    <w:name w:val="Header Char"/>
    <w:basedOn w:val="DefaultParagraphFont"/>
    <w:link w:val="Header"/>
    <w:uiPriority w:val="99"/>
    <w:rsid w:val="00EE2646"/>
    <w:rPr>
      <w:rFonts w:ascii="Arial" w:eastAsia="Times New Roman" w:hAnsi="Arial" w:cs="Times New Roman"/>
      <w:sz w:val="20"/>
      <w:szCs w:val="24"/>
      <w:lang w:val="en-CA"/>
    </w:rPr>
  </w:style>
  <w:style w:type="paragraph" w:styleId="Footer">
    <w:name w:val="footer"/>
    <w:basedOn w:val="Normal"/>
    <w:link w:val="FooterChar"/>
    <w:uiPriority w:val="99"/>
    <w:unhideWhenUsed/>
    <w:rsid w:val="00EE2646"/>
    <w:pPr>
      <w:tabs>
        <w:tab w:val="center" w:pos="4680"/>
        <w:tab w:val="right" w:pos="9360"/>
      </w:tabs>
    </w:pPr>
  </w:style>
  <w:style w:type="character" w:customStyle="1" w:styleId="FooterChar">
    <w:name w:val="Footer Char"/>
    <w:basedOn w:val="DefaultParagraphFont"/>
    <w:link w:val="Footer"/>
    <w:uiPriority w:val="99"/>
    <w:rsid w:val="00EE2646"/>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4C60E7"/>
    <w:rPr>
      <w:rFonts w:ascii="Tahoma" w:hAnsi="Tahoma" w:cs="Tahoma"/>
      <w:sz w:val="16"/>
      <w:szCs w:val="16"/>
    </w:rPr>
  </w:style>
  <w:style w:type="character" w:customStyle="1" w:styleId="BalloonTextChar">
    <w:name w:val="Balloon Text Char"/>
    <w:basedOn w:val="DefaultParagraphFont"/>
    <w:link w:val="BalloonText"/>
    <w:uiPriority w:val="99"/>
    <w:semiHidden/>
    <w:rsid w:val="004C60E7"/>
    <w:rPr>
      <w:rFonts w:ascii="Tahoma" w:eastAsia="Times New Roman" w:hAnsi="Tahoma" w:cs="Tahoma"/>
      <w:sz w:val="16"/>
      <w:szCs w:val="16"/>
      <w:lang w:val="en-CA"/>
    </w:rPr>
  </w:style>
  <w:style w:type="character" w:styleId="Hyperlink">
    <w:name w:val="Hyperlink"/>
    <w:basedOn w:val="DefaultParagraphFont"/>
    <w:uiPriority w:val="99"/>
    <w:unhideWhenUsed/>
    <w:rsid w:val="007579C0"/>
    <w:rPr>
      <w:color w:val="0000FF" w:themeColor="hyperlink"/>
      <w:u w:val="single"/>
    </w:rPr>
  </w:style>
  <w:style w:type="paragraph" w:styleId="ListParagraph">
    <w:name w:val="List Paragraph"/>
    <w:basedOn w:val="Normal"/>
    <w:uiPriority w:val="34"/>
    <w:qFormat/>
    <w:rsid w:val="00BE2688"/>
    <w:pPr>
      <w:ind w:left="720"/>
      <w:contextualSpacing/>
    </w:pPr>
  </w:style>
  <w:style w:type="character" w:styleId="CommentReference">
    <w:name w:val="annotation reference"/>
    <w:basedOn w:val="DefaultParagraphFont"/>
    <w:uiPriority w:val="99"/>
    <w:semiHidden/>
    <w:unhideWhenUsed/>
    <w:rsid w:val="00023FDE"/>
    <w:rPr>
      <w:sz w:val="16"/>
      <w:szCs w:val="16"/>
    </w:rPr>
  </w:style>
  <w:style w:type="paragraph" w:styleId="CommentText">
    <w:name w:val="annotation text"/>
    <w:basedOn w:val="Normal"/>
    <w:link w:val="CommentTextChar"/>
    <w:uiPriority w:val="99"/>
    <w:semiHidden/>
    <w:unhideWhenUsed/>
    <w:rsid w:val="00023FDE"/>
    <w:rPr>
      <w:szCs w:val="20"/>
    </w:rPr>
  </w:style>
  <w:style w:type="character" w:customStyle="1" w:styleId="CommentTextChar">
    <w:name w:val="Comment Text Char"/>
    <w:basedOn w:val="DefaultParagraphFont"/>
    <w:link w:val="CommentText"/>
    <w:uiPriority w:val="99"/>
    <w:semiHidden/>
    <w:rsid w:val="00023FDE"/>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3FDE"/>
    <w:rPr>
      <w:b/>
      <w:bCs/>
    </w:rPr>
  </w:style>
  <w:style w:type="character" w:customStyle="1" w:styleId="CommentSubjectChar">
    <w:name w:val="Comment Subject Char"/>
    <w:basedOn w:val="CommentTextChar"/>
    <w:link w:val="CommentSubject"/>
    <w:uiPriority w:val="99"/>
    <w:semiHidden/>
    <w:rsid w:val="00023FDE"/>
    <w:rPr>
      <w:rFonts w:ascii="Arial" w:eastAsia="Times New Roman" w:hAnsi="Arial" w:cs="Times New Roman"/>
      <w:b/>
      <w:bCs/>
      <w:sz w:val="20"/>
      <w:szCs w:val="20"/>
      <w:lang w:val="en-CA"/>
    </w:rPr>
  </w:style>
  <w:style w:type="paragraph" w:customStyle="1" w:styleId="Header1">
    <w:name w:val="Header1"/>
    <w:basedOn w:val="Header"/>
    <w:rsid w:val="0095364D"/>
    <w:pPr>
      <w:tabs>
        <w:tab w:val="clear" w:pos="4680"/>
        <w:tab w:val="clear" w:pos="9360"/>
        <w:tab w:val="left" w:pos="7560"/>
      </w:tabs>
      <w:autoSpaceDE w:val="0"/>
      <w:autoSpaceDN w:val="0"/>
      <w:adjustRightInd w:val="0"/>
    </w:pPr>
    <w:rPr>
      <w:sz w:val="16"/>
      <w:szCs w:val="16"/>
      <w:lang w:val="en-US"/>
    </w:rPr>
  </w:style>
  <w:style w:type="character" w:styleId="PageNumber">
    <w:name w:val="page number"/>
    <w:basedOn w:val="DefaultParagraphFont"/>
    <w:rsid w:val="0095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990">
      <w:bodyDiv w:val="1"/>
      <w:marLeft w:val="0"/>
      <w:marRight w:val="0"/>
      <w:marTop w:val="0"/>
      <w:marBottom w:val="0"/>
      <w:divBdr>
        <w:top w:val="none" w:sz="0" w:space="0" w:color="auto"/>
        <w:left w:val="none" w:sz="0" w:space="0" w:color="auto"/>
        <w:bottom w:val="none" w:sz="0" w:space="0" w:color="auto"/>
        <w:right w:val="none" w:sz="0" w:space="0" w:color="auto"/>
      </w:divBdr>
    </w:div>
    <w:div w:id="80759914">
      <w:bodyDiv w:val="1"/>
      <w:marLeft w:val="0"/>
      <w:marRight w:val="0"/>
      <w:marTop w:val="0"/>
      <w:marBottom w:val="0"/>
      <w:divBdr>
        <w:top w:val="none" w:sz="0" w:space="0" w:color="auto"/>
        <w:left w:val="none" w:sz="0" w:space="0" w:color="auto"/>
        <w:bottom w:val="none" w:sz="0" w:space="0" w:color="auto"/>
        <w:right w:val="none" w:sz="0" w:space="0" w:color="auto"/>
      </w:divBdr>
    </w:div>
    <w:div w:id="98649366">
      <w:bodyDiv w:val="1"/>
      <w:marLeft w:val="0"/>
      <w:marRight w:val="0"/>
      <w:marTop w:val="0"/>
      <w:marBottom w:val="0"/>
      <w:divBdr>
        <w:top w:val="none" w:sz="0" w:space="0" w:color="auto"/>
        <w:left w:val="none" w:sz="0" w:space="0" w:color="auto"/>
        <w:bottom w:val="none" w:sz="0" w:space="0" w:color="auto"/>
        <w:right w:val="none" w:sz="0" w:space="0" w:color="auto"/>
      </w:divBdr>
    </w:div>
    <w:div w:id="117771054">
      <w:bodyDiv w:val="1"/>
      <w:marLeft w:val="0"/>
      <w:marRight w:val="0"/>
      <w:marTop w:val="0"/>
      <w:marBottom w:val="0"/>
      <w:divBdr>
        <w:top w:val="none" w:sz="0" w:space="0" w:color="auto"/>
        <w:left w:val="none" w:sz="0" w:space="0" w:color="auto"/>
        <w:bottom w:val="none" w:sz="0" w:space="0" w:color="auto"/>
        <w:right w:val="none" w:sz="0" w:space="0" w:color="auto"/>
      </w:divBdr>
    </w:div>
    <w:div w:id="130679812">
      <w:bodyDiv w:val="1"/>
      <w:marLeft w:val="0"/>
      <w:marRight w:val="0"/>
      <w:marTop w:val="0"/>
      <w:marBottom w:val="0"/>
      <w:divBdr>
        <w:top w:val="none" w:sz="0" w:space="0" w:color="auto"/>
        <w:left w:val="none" w:sz="0" w:space="0" w:color="auto"/>
        <w:bottom w:val="none" w:sz="0" w:space="0" w:color="auto"/>
        <w:right w:val="none" w:sz="0" w:space="0" w:color="auto"/>
      </w:divBdr>
    </w:div>
    <w:div w:id="133105519">
      <w:bodyDiv w:val="1"/>
      <w:marLeft w:val="0"/>
      <w:marRight w:val="0"/>
      <w:marTop w:val="0"/>
      <w:marBottom w:val="0"/>
      <w:divBdr>
        <w:top w:val="none" w:sz="0" w:space="0" w:color="auto"/>
        <w:left w:val="none" w:sz="0" w:space="0" w:color="auto"/>
        <w:bottom w:val="none" w:sz="0" w:space="0" w:color="auto"/>
        <w:right w:val="none" w:sz="0" w:space="0" w:color="auto"/>
      </w:divBdr>
    </w:div>
    <w:div w:id="152723292">
      <w:bodyDiv w:val="1"/>
      <w:marLeft w:val="0"/>
      <w:marRight w:val="0"/>
      <w:marTop w:val="0"/>
      <w:marBottom w:val="0"/>
      <w:divBdr>
        <w:top w:val="none" w:sz="0" w:space="0" w:color="auto"/>
        <w:left w:val="none" w:sz="0" w:space="0" w:color="auto"/>
        <w:bottom w:val="none" w:sz="0" w:space="0" w:color="auto"/>
        <w:right w:val="none" w:sz="0" w:space="0" w:color="auto"/>
      </w:divBdr>
    </w:div>
    <w:div w:id="163016106">
      <w:bodyDiv w:val="1"/>
      <w:marLeft w:val="0"/>
      <w:marRight w:val="0"/>
      <w:marTop w:val="0"/>
      <w:marBottom w:val="0"/>
      <w:divBdr>
        <w:top w:val="none" w:sz="0" w:space="0" w:color="auto"/>
        <w:left w:val="none" w:sz="0" w:space="0" w:color="auto"/>
        <w:bottom w:val="none" w:sz="0" w:space="0" w:color="auto"/>
        <w:right w:val="none" w:sz="0" w:space="0" w:color="auto"/>
      </w:divBdr>
    </w:div>
    <w:div w:id="166870767">
      <w:bodyDiv w:val="1"/>
      <w:marLeft w:val="0"/>
      <w:marRight w:val="0"/>
      <w:marTop w:val="0"/>
      <w:marBottom w:val="0"/>
      <w:divBdr>
        <w:top w:val="none" w:sz="0" w:space="0" w:color="auto"/>
        <w:left w:val="none" w:sz="0" w:space="0" w:color="auto"/>
        <w:bottom w:val="none" w:sz="0" w:space="0" w:color="auto"/>
        <w:right w:val="none" w:sz="0" w:space="0" w:color="auto"/>
      </w:divBdr>
    </w:div>
    <w:div w:id="172230083">
      <w:bodyDiv w:val="1"/>
      <w:marLeft w:val="0"/>
      <w:marRight w:val="0"/>
      <w:marTop w:val="0"/>
      <w:marBottom w:val="0"/>
      <w:divBdr>
        <w:top w:val="none" w:sz="0" w:space="0" w:color="auto"/>
        <w:left w:val="none" w:sz="0" w:space="0" w:color="auto"/>
        <w:bottom w:val="none" w:sz="0" w:space="0" w:color="auto"/>
        <w:right w:val="none" w:sz="0" w:space="0" w:color="auto"/>
      </w:divBdr>
    </w:div>
    <w:div w:id="197163452">
      <w:bodyDiv w:val="1"/>
      <w:marLeft w:val="0"/>
      <w:marRight w:val="0"/>
      <w:marTop w:val="0"/>
      <w:marBottom w:val="0"/>
      <w:divBdr>
        <w:top w:val="none" w:sz="0" w:space="0" w:color="auto"/>
        <w:left w:val="none" w:sz="0" w:space="0" w:color="auto"/>
        <w:bottom w:val="none" w:sz="0" w:space="0" w:color="auto"/>
        <w:right w:val="none" w:sz="0" w:space="0" w:color="auto"/>
      </w:divBdr>
    </w:div>
    <w:div w:id="209727282">
      <w:bodyDiv w:val="1"/>
      <w:marLeft w:val="0"/>
      <w:marRight w:val="0"/>
      <w:marTop w:val="0"/>
      <w:marBottom w:val="0"/>
      <w:divBdr>
        <w:top w:val="none" w:sz="0" w:space="0" w:color="auto"/>
        <w:left w:val="none" w:sz="0" w:space="0" w:color="auto"/>
        <w:bottom w:val="none" w:sz="0" w:space="0" w:color="auto"/>
        <w:right w:val="none" w:sz="0" w:space="0" w:color="auto"/>
      </w:divBdr>
    </w:div>
    <w:div w:id="255479539">
      <w:bodyDiv w:val="1"/>
      <w:marLeft w:val="0"/>
      <w:marRight w:val="0"/>
      <w:marTop w:val="0"/>
      <w:marBottom w:val="0"/>
      <w:divBdr>
        <w:top w:val="none" w:sz="0" w:space="0" w:color="auto"/>
        <w:left w:val="none" w:sz="0" w:space="0" w:color="auto"/>
        <w:bottom w:val="none" w:sz="0" w:space="0" w:color="auto"/>
        <w:right w:val="none" w:sz="0" w:space="0" w:color="auto"/>
      </w:divBdr>
    </w:div>
    <w:div w:id="256598698">
      <w:bodyDiv w:val="1"/>
      <w:marLeft w:val="0"/>
      <w:marRight w:val="0"/>
      <w:marTop w:val="0"/>
      <w:marBottom w:val="0"/>
      <w:divBdr>
        <w:top w:val="none" w:sz="0" w:space="0" w:color="auto"/>
        <w:left w:val="none" w:sz="0" w:space="0" w:color="auto"/>
        <w:bottom w:val="none" w:sz="0" w:space="0" w:color="auto"/>
        <w:right w:val="none" w:sz="0" w:space="0" w:color="auto"/>
      </w:divBdr>
    </w:div>
    <w:div w:id="259290976">
      <w:bodyDiv w:val="1"/>
      <w:marLeft w:val="0"/>
      <w:marRight w:val="0"/>
      <w:marTop w:val="0"/>
      <w:marBottom w:val="0"/>
      <w:divBdr>
        <w:top w:val="none" w:sz="0" w:space="0" w:color="auto"/>
        <w:left w:val="none" w:sz="0" w:space="0" w:color="auto"/>
        <w:bottom w:val="none" w:sz="0" w:space="0" w:color="auto"/>
        <w:right w:val="none" w:sz="0" w:space="0" w:color="auto"/>
      </w:divBdr>
    </w:div>
    <w:div w:id="267858079">
      <w:bodyDiv w:val="1"/>
      <w:marLeft w:val="0"/>
      <w:marRight w:val="0"/>
      <w:marTop w:val="0"/>
      <w:marBottom w:val="0"/>
      <w:divBdr>
        <w:top w:val="none" w:sz="0" w:space="0" w:color="auto"/>
        <w:left w:val="none" w:sz="0" w:space="0" w:color="auto"/>
        <w:bottom w:val="none" w:sz="0" w:space="0" w:color="auto"/>
        <w:right w:val="none" w:sz="0" w:space="0" w:color="auto"/>
      </w:divBdr>
    </w:div>
    <w:div w:id="269825003">
      <w:bodyDiv w:val="1"/>
      <w:marLeft w:val="0"/>
      <w:marRight w:val="0"/>
      <w:marTop w:val="0"/>
      <w:marBottom w:val="0"/>
      <w:divBdr>
        <w:top w:val="none" w:sz="0" w:space="0" w:color="auto"/>
        <w:left w:val="none" w:sz="0" w:space="0" w:color="auto"/>
        <w:bottom w:val="none" w:sz="0" w:space="0" w:color="auto"/>
        <w:right w:val="none" w:sz="0" w:space="0" w:color="auto"/>
      </w:divBdr>
    </w:div>
    <w:div w:id="270019639">
      <w:bodyDiv w:val="1"/>
      <w:marLeft w:val="0"/>
      <w:marRight w:val="0"/>
      <w:marTop w:val="0"/>
      <w:marBottom w:val="0"/>
      <w:divBdr>
        <w:top w:val="none" w:sz="0" w:space="0" w:color="auto"/>
        <w:left w:val="none" w:sz="0" w:space="0" w:color="auto"/>
        <w:bottom w:val="none" w:sz="0" w:space="0" w:color="auto"/>
        <w:right w:val="none" w:sz="0" w:space="0" w:color="auto"/>
      </w:divBdr>
    </w:div>
    <w:div w:id="284623203">
      <w:bodyDiv w:val="1"/>
      <w:marLeft w:val="0"/>
      <w:marRight w:val="0"/>
      <w:marTop w:val="0"/>
      <w:marBottom w:val="0"/>
      <w:divBdr>
        <w:top w:val="none" w:sz="0" w:space="0" w:color="auto"/>
        <w:left w:val="none" w:sz="0" w:space="0" w:color="auto"/>
        <w:bottom w:val="none" w:sz="0" w:space="0" w:color="auto"/>
        <w:right w:val="none" w:sz="0" w:space="0" w:color="auto"/>
      </w:divBdr>
    </w:div>
    <w:div w:id="287855316">
      <w:bodyDiv w:val="1"/>
      <w:marLeft w:val="0"/>
      <w:marRight w:val="0"/>
      <w:marTop w:val="0"/>
      <w:marBottom w:val="0"/>
      <w:divBdr>
        <w:top w:val="none" w:sz="0" w:space="0" w:color="auto"/>
        <w:left w:val="none" w:sz="0" w:space="0" w:color="auto"/>
        <w:bottom w:val="none" w:sz="0" w:space="0" w:color="auto"/>
        <w:right w:val="none" w:sz="0" w:space="0" w:color="auto"/>
      </w:divBdr>
    </w:div>
    <w:div w:id="305476520">
      <w:bodyDiv w:val="1"/>
      <w:marLeft w:val="0"/>
      <w:marRight w:val="0"/>
      <w:marTop w:val="0"/>
      <w:marBottom w:val="0"/>
      <w:divBdr>
        <w:top w:val="none" w:sz="0" w:space="0" w:color="auto"/>
        <w:left w:val="none" w:sz="0" w:space="0" w:color="auto"/>
        <w:bottom w:val="none" w:sz="0" w:space="0" w:color="auto"/>
        <w:right w:val="none" w:sz="0" w:space="0" w:color="auto"/>
      </w:divBdr>
    </w:div>
    <w:div w:id="314652670">
      <w:bodyDiv w:val="1"/>
      <w:marLeft w:val="0"/>
      <w:marRight w:val="0"/>
      <w:marTop w:val="0"/>
      <w:marBottom w:val="0"/>
      <w:divBdr>
        <w:top w:val="none" w:sz="0" w:space="0" w:color="auto"/>
        <w:left w:val="none" w:sz="0" w:space="0" w:color="auto"/>
        <w:bottom w:val="none" w:sz="0" w:space="0" w:color="auto"/>
        <w:right w:val="none" w:sz="0" w:space="0" w:color="auto"/>
      </w:divBdr>
    </w:div>
    <w:div w:id="316229191">
      <w:bodyDiv w:val="1"/>
      <w:marLeft w:val="0"/>
      <w:marRight w:val="0"/>
      <w:marTop w:val="0"/>
      <w:marBottom w:val="0"/>
      <w:divBdr>
        <w:top w:val="none" w:sz="0" w:space="0" w:color="auto"/>
        <w:left w:val="none" w:sz="0" w:space="0" w:color="auto"/>
        <w:bottom w:val="none" w:sz="0" w:space="0" w:color="auto"/>
        <w:right w:val="none" w:sz="0" w:space="0" w:color="auto"/>
      </w:divBdr>
    </w:div>
    <w:div w:id="323556686">
      <w:bodyDiv w:val="1"/>
      <w:marLeft w:val="0"/>
      <w:marRight w:val="0"/>
      <w:marTop w:val="0"/>
      <w:marBottom w:val="0"/>
      <w:divBdr>
        <w:top w:val="none" w:sz="0" w:space="0" w:color="auto"/>
        <w:left w:val="none" w:sz="0" w:space="0" w:color="auto"/>
        <w:bottom w:val="none" w:sz="0" w:space="0" w:color="auto"/>
        <w:right w:val="none" w:sz="0" w:space="0" w:color="auto"/>
      </w:divBdr>
    </w:div>
    <w:div w:id="324555642">
      <w:bodyDiv w:val="1"/>
      <w:marLeft w:val="0"/>
      <w:marRight w:val="0"/>
      <w:marTop w:val="0"/>
      <w:marBottom w:val="0"/>
      <w:divBdr>
        <w:top w:val="none" w:sz="0" w:space="0" w:color="auto"/>
        <w:left w:val="none" w:sz="0" w:space="0" w:color="auto"/>
        <w:bottom w:val="none" w:sz="0" w:space="0" w:color="auto"/>
        <w:right w:val="none" w:sz="0" w:space="0" w:color="auto"/>
      </w:divBdr>
    </w:div>
    <w:div w:id="332344188">
      <w:bodyDiv w:val="1"/>
      <w:marLeft w:val="0"/>
      <w:marRight w:val="0"/>
      <w:marTop w:val="0"/>
      <w:marBottom w:val="0"/>
      <w:divBdr>
        <w:top w:val="none" w:sz="0" w:space="0" w:color="auto"/>
        <w:left w:val="none" w:sz="0" w:space="0" w:color="auto"/>
        <w:bottom w:val="none" w:sz="0" w:space="0" w:color="auto"/>
        <w:right w:val="none" w:sz="0" w:space="0" w:color="auto"/>
      </w:divBdr>
    </w:div>
    <w:div w:id="341931529">
      <w:bodyDiv w:val="1"/>
      <w:marLeft w:val="0"/>
      <w:marRight w:val="0"/>
      <w:marTop w:val="0"/>
      <w:marBottom w:val="0"/>
      <w:divBdr>
        <w:top w:val="none" w:sz="0" w:space="0" w:color="auto"/>
        <w:left w:val="none" w:sz="0" w:space="0" w:color="auto"/>
        <w:bottom w:val="none" w:sz="0" w:space="0" w:color="auto"/>
        <w:right w:val="none" w:sz="0" w:space="0" w:color="auto"/>
      </w:divBdr>
    </w:div>
    <w:div w:id="396589710">
      <w:bodyDiv w:val="1"/>
      <w:marLeft w:val="0"/>
      <w:marRight w:val="0"/>
      <w:marTop w:val="0"/>
      <w:marBottom w:val="0"/>
      <w:divBdr>
        <w:top w:val="none" w:sz="0" w:space="0" w:color="auto"/>
        <w:left w:val="none" w:sz="0" w:space="0" w:color="auto"/>
        <w:bottom w:val="none" w:sz="0" w:space="0" w:color="auto"/>
        <w:right w:val="none" w:sz="0" w:space="0" w:color="auto"/>
      </w:divBdr>
    </w:div>
    <w:div w:id="398214571">
      <w:bodyDiv w:val="1"/>
      <w:marLeft w:val="0"/>
      <w:marRight w:val="0"/>
      <w:marTop w:val="0"/>
      <w:marBottom w:val="0"/>
      <w:divBdr>
        <w:top w:val="none" w:sz="0" w:space="0" w:color="auto"/>
        <w:left w:val="none" w:sz="0" w:space="0" w:color="auto"/>
        <w:bottom w:val="none" w:sz="0" w:space="0" w:color="auto"/>
        <w:right w:val="none" w:sz="0" w:space="0" w:color="auto"/>
      </w:divBdr>
    </w:div>
    <w:div w:id="410272406">
      <w:bodyDiv w:val="1"/>
      <w:marLeft w:val="0"/>
      <w:marRight w:val="0"/>
      <w:marTop w:val="0"/>
      <w:marBottom w:val="0"/>
      <w:divBdr>
        <w:top w:val="none" w:sz="0" w:space="0" w:color="auto"/>
        <w:left w:val="none" w:sz="0" w:space="0" w:color="auto"/>
        <w:bottom w:val="none" w:sz="0" w:space="0" w:color="auto"/>
        <w:right w:val="none" w:sz="0" w:space="0" w:color="auto"/>
      </w:divBdr>
    </w:div>
    <w:div w:id="442967002">
      <w:bodyDiv w:val="1"/>
      <w:marLeft w:val="0"/>
      <w:marRight w:val="0"/>
      <w:marTop w:val="0"/>
      <w:marBottom w:val="0"/>
      <w:divBdr>
        <w:top w:val="none" w:sz="0" w:space="0" w:color="auto"/>
        <w:left w:val="none" w:sz="0" w:space="0" w:color="auto"/>
        <w:bottom w:val="none" w:sz="0" w:space="0" w:color="auto"/>
        <w:right w:val="none" w:sz="0" w:space="0" w:color="auto"/>
      </w:divBdr>
    </w:div>
    <w:div w:id="471290919">
      <w:bodyDiv w:val="1"/>
      <w:marLeft w:val="0"/>
      <w:marRight w:val="0"/>
      <w:marTop w:val="0"/>
      <w:marBottom w:val="0"/>
      <w:divBdr>
        <w:top w:val="none" w:sz="0" w:space="0" w:color="auto"/>
        <w:left w:val="none" w:sz="0" w:space="0" w:color="auto"/>
        <w:bottom w:val="none" w:sz="0" w:space="0" w:color="auto"/>
        <w:right w:val="none" w:sz="0" w:space="0" w:color="auto"/>
      </w:divBdr>
    </w:div>
    <w:div w:id="476072820">
      <w:bodyDiv w:val="1"/>
      <w:marLeft w:val="0"/>
      <w:marRight w:val="0"/>
      <w:marTop w:val="0"/>
      <w:marBottom w:val="0"/>
      <w:divBdr>
        <w:top w:val="none" w:sz="0" w:space="0" w:color="auto"/>
        <w:left w:val="none" w:sz="0" w:space="0" w:color="auto"/>
        <w:bottom w:val="none" w:sz="0" w:space="0" w:color="auto"/>
        <w:right w:val="none" w:sz="0" w:space="0" w:color="auto"/>
      </w:divBdr>
    </w:div>
    <w:div w:id="478376881">
      <w:bodyDiv w:val="1"/>
      <w:marLeft w:val="0"/>
      <w:marRight w:val="0"/>
      <w:marTop w:val="0"/>
      <w:marBottom w:val="0"/>
      <w:divBdr>
        <w:top w:val="none" w:sz="0" w:space="0" w:color="auto"/>
        <w:left w:val="none" w:sz="0" w:space="0" w:color="auto"/>
        <w:bottom w:val="none" w:sz="0" w:space="0" w:color="auto"/>
        <w:right w:val="none" w:sz="0" w:space="0" w:color="auto"/>
      </w:divBdr>
    </w:div>
    <w:div w:id="481502216">
      <w:bodyDiv w:val="1"/>
      <w:marLeft w:val="0"/>
      <w:marRight w:val="0"/>
      <w:marTop w:val="0"/>
      <w:marBottom w:val="0"/>
      <w:divBdr>
        <w:top w:val="none" w:sz="0" w:space="0" w:color="auto"/>
        <w:left w:val="none" w:sz="0" w:space="0" w:color="auto"/>
        <w:bottom w:val="none" w:sz="0" w:space="0" w:color="auto"/>
        <w:right w:val="none" w:sz="0" w:space="0" w:color="auto"/>
      </w:divBdr>
    </w:div>
    <w:div w:id="500387703">
      <w:bodyDiv w:val="1"/>
      <w:marLeft w:val="0"/>
      <w:marRight w:val="0"/>
      <w:marTop w:val="0"/>
      <w:marBottom w:val="0"/>
      <w:divBdr>
        <w:top w:val="none" w:sz="0" w:space="0" w:color="auto"/>
        <w:left w:val="none" w:sz="0" w:space="0" w:color="auto"/>
        <w:bottom w:val="none" w:sz="0" w:space="0" w:color="auto"/>
        <w:right w:val="none" w:sz="0" w:space="0" w:color="auto"/>
      </w:divBdr>
    </w:div>
    <w:div w:id="500703377">
      <w:bodyDiv w:val="1"/>
      <w:marLeft w:val="0"/>
      <w:marRight w:val="0"/>
      <w:marTop w:val="0"/>
      <w:marBottom w:val="0"/>
      <w:divBdr>
        <w:top w:val="none" w:sz="0" w:space="0" w:color="auto"/>
        <w:left w:val="none" w:sz="0" w:space="0" w:color="auto"/>
        <w:bottom w:val="none" w:sz="0" w:space="0" w:color="auto"/>
        <w:right w:val="none" w:sz="0" w:space="0" w:color="auto"/>
      </w:divBdr>
    </w:div>
    <w:div w:id="627247339">
      <w:bodyDiv w:val="1"/>
      <w:marLeft w:val="0"/>
      <w:marRight w:val="0"/>
      <w:marTop w:val="0"/>
      <w:marBottom w:val="0"/>
      <w:divBdr>
        <w:top w:val="none" w:sz="0" w:space="0" w:color="auto"/>
        <w:left w:val="none" w:sz="0" w:space="0" w:color="auto"/>
        <w:bottom w:val="none" w:sz="0" w:space="0" w:color="auto"/>
        <w:right w:val="none" w:sz="0" w:space="0" w:color="auto"/>
      </w:divBdr>
    </w:div>
    <w:div w:id="712923894">
      <w:bodyDiv w:val="1"/>
      <w:marLeft w:val="0"/>
      <w:marRight w:val="0"/>
      <w:marTop w:val="0"/>
      <w:marBottom w:val="0"/>
      <w:divBdr>
        <w:top w:val="none" w:sz="0" w:space="0" w:color="auto"/>
        <w:left w:val="none" w:sz="0" w:space="0" w:color="auto"/>
        <w:bottom w:val="none" w:sz="0" w:space="0" w:color="auto"/>
        <w:right w:val="none" w:sz="0" w:space="0" w:color="auto"/>
      </w:divBdr>
    </w:div>
    <w:div w:id="725565218">
      <w:bodyDiv w:val="1"/>
      <w:marLeft w:val="0"/>
      <w:marRight w:val="0"/>
      <w:marTop w:val="0"/>
      <w:marBottom w:val="0"/>
      <w:divBdr>
        <w:top w:val="none" w:sz="0" w:space="0" w:color="auto"/>
        <w:left w:val="none" w:sz="0" w:space="0" w:color="auto"/>
        <w:bottom w:val="none" w:sz="0" w:space="0" w:color="auto"/>
        <w:right w:val="none" w:sz="0" w:space="0" w:color="auto"/>
      </w:divBdr>
    </w:div>
    <w:div w:id="726420498">
      <w:bodyDiv w:val="1"/>
      <w:marLeft w:val="0"/>
      <w:marRight w:val="0"/>
      <w:marTop w:val="0"/>
      <w:marBottom w:val="0"/>
      <w:divBdr>
        <w:top w:val="none" w:sz="0" w:space="0" w:color="auto"/>
        <w:left w:val="none" w:sz="0" w:space="0" w:color="auto"/>
        <w:bottom w:val="none" w:sz="0" w:space="0" w:color="auto"/>
        <w:right w:val="none" w:sz="0" w:space="0" w:color="auto"/>
      </w:divBdr>
    </w:div>
    <w:div w:id="795172930">
      <w:bodyDiv w:val="1"/>
      <w:marLeft w:val="0"/>
      <w:marRight w:val="0"/>
      <w:marTop w:val="0"/>
      <w:marBottom w:val="0"/>
      <w:divBdr>
        <w:top w:val="none" w:sz="0" w:space="0" w:color="auto"/>
        <w:left w:val="none" w:sz="0" w:space="0" w:color="auto"/>
        <w:bottom w:val="none" w:sz="0" w:space="0" w:color="auto"/>
        <w:right w:val="none" w:sz="0" w:space="0" w:color="auto"/>
      </w:divBdr>
    </w:div>
    <w:div w:id="839545904">
      <w:bodyDiv w:val="1"/>
      <w:marLeft w:val="0"/>
      <w:marRight w:val="0"/>
      <w:marTop w:val="0"/>
      <w:marBottom w:val="0"/>
      <w:divBdr>
        <w:top w:val="none" w:sz="0" w:space="0" w:color="auto"/>
        <w:left w:val="none" w:sz="0" w:space="0" w:color="auto"/>
        <w:bottom w:val="none" w:sz="0" w:space="0" w:color="auto"/>
        <w:right w:val="none" w:sz="0" w:space="0" w:color="auto"/>
      </w:divBdr>
    </w:div>
    <w:div w:id="840660829">
      <w:bodyDiv w:val="1"/>
      <w:marLeft w:val="0"/>
      <w:marRight w:val="0"/>
      <w:marTop w:val="0"/>
      <w:marBottom w:val="0"/>
      <w:divBdr>
        <w:top w:val="none" w:sz="0" w:space="0" w:color="auto"/>
        <w:left w:val="none" w:sz="0" w:space="0" w:color="auto"/>
        <w:bottom w:val="none" w:sz="0" w:space="0" w:color="auto"/>
        <w:right w:val="none" w:sz="0" w:space="0" w:color="auto"/>
      </w:divBdr>
    </w:div>
    <w:div w:id="894701642">
      <w:bodyDiv w:val="1"/>
      <w:marLeft w:val="0"/>
      <w:marRight w:val="0"/>
      <w:marTop w:val="0"/>
      <w:marBottom w:val="0"/>
      <w:divBdr>
        <w:top w:val="none" w:sz="0" w:space="0" w:color="auto"/>
        <w:left w:val="none" w:sz="0" w:space="0" w:color="auto"/>
        <w:bottom w:val="none" w:sz="0" w:space="0" w:color="auto"/>
        <w:right w:val="none" w:sz="0" w:space="0" w:color="auto"/>
      </w:divBdr>
    </w:div>
    <w:div w:id="901141932">
      <w:bodyDiv w:val="1"/>
      <w:marLeft w:val="0"/>
      <w:marRight w:val="0"/>
      <w:marTop w:val="0"/>
      <w:marBottom w:val="0"/>
      <w:divBdr>
        <w:top w:val="none" w:sz="0" w:space="0" w:color="auto"/>
        <w:left w:val="none" w:sz="0" w:space="0" w:color="auto"/>
        <w:bottom w:val="none" w:sz="0" w:space="0" w:color="auto"/>
        <w:right w:val="none" w:sz="0" w:space="0" w:color="auto"/>
      </w:divBdr>
    </w:div>
    <w:div w:id="911041056">
      <w:bodyDiv w:val="1"/>
      <w:marLeft w:val="0"/>
      <w:marRight w:val="0"/>
      <w:marTop w:val="0"/>
      <w:marBottom w:val="0"/>
      <w:divBdr>
        <w:top w:val="none" w:sz="0" w:space="0" w:color="auto"/>
        <w:left w:val="none" w:sz="0" w:space="0" w:color="auto"/>
        <w:bottom w:val="none" w:sz="0" w:space="0" w:color="auto"/>
        <w:right w:val="none" w:sz="0" w:space="0" w:color="auto"/>
      </w:divBdr>
    </w:div>
    <w:div w:id="915019018">
      <w:bodyDiv w:val="1"/>
      <w:marLeft w:val="0"/>
      <w:marRight w:val="0"/>
      <w:marTop w:val="0"/>
      <w:marBottom w:val="0"/>
      <w:divBdr>
        <w:top w:val="none" w:sz="0" w:space="0" w:color="auto"/>
        <w:left w:val="none" w:sz="0" w:space="0" w:color="auto"/>
        <w:bottom w:val="none" w:sz="0" w:space="0" w:color="auto"/>
        <w:right w:val="none" w:sz="0" w:space="0" w:color="auto"/>
      </w:divBdr>
    </w:div>
    <w:div w:id="931667057">
      <w:bodyDiv w:val="1"/>
      <w:marLeft w:val="0"/>
      <w:marRight w:val="0"/>
      <w:marTop w:val="0"/>
      <w:marBottom w:val="0"/>
      <w:divBdr>
        <w:top w:val="none" w:sz="0" w:space="0" w:color="auto"/>
        <w:left w:val="none" w:sz="0" w:space="0" w:color="auto"/>
        <w:bottom w:val="none" w:sz="0" w:space="0" w:color="auto"/>
        <w:right w:val="none" w:sz="0" w:space="0" w:color="auto"/>
      </w:divBdr>
    </w:div>
    <w:div w:id="960184618">
      <w:bodyDiv w:val="1"/>
      <w:marLeft w:val="0"/>
      <w:marRight w:val="0"/>
      <w:marTop w:val="0"/>
      <w:marBottom w:val="0"/>
      <w:divBdr>
        <w:top w:val="none" w:sz="0" w:space="0" w:color="auto"/>
        <w:left w:val="none" w:sz="0" w:space="0" w:color="auto"/>
        <w:bottom w:val="none" w:sz="0" w:space="0" w:color="auto"/>
        <w:right w:val="none" w:sz="0" w:space="0" w:color="auto"/>
      </w:divBdr>
    </w:div>
    <w:div w:id="986980114">
      <w:bodyDiv w:val="1"/>
      <w:marLeft w:val="0"/>
      <w:marRight w:val="0"/>
      <w:marTop w:val="0"/>
      <w:marBottom w:val="0"/>
      <w:divBdr>
        <w:top w:val="none" w:sz="0" w:space="0" w:color="auto"/>
        <w:left w:val="none" w:sz="0" w:space="0" w:color="auto"/>
        <w:bottom w:val="none" w:sz="0" w:space="0" w:color="auto"/>
        <w:right w:val="none" w:sz="0" w:space="0" w:color="auto"/>
      </w:divBdr>
    </w:div>
    <w:div w:id="1013268958">
      <w:bodyDiv w:val="1"/>
      <w:marLeft w:val="0"/>
      <w:marRight w:val="0"/>
      <w:marTop w:val="0"/>
      <w:marBottom w:val="0"/>
      <w:divBdr>
        <w:top w:val="none" w:sz="0" w:space="0" w:color="auto"/>
        <w:left w:val="none" w:sz="0" w:space="0" w:color="auto"/>
        <w:bottom w:val="none" w:sz="0" w:space="0" w:color="auto"/>
        <w:right w:val="none" w:sz="0" w:space="0" w:color="auto"/>
      </w:divBdr>
    </w:div>
    <w:div w:id="1017729653">
      <w:bodyDiv w:val="1"/>
      <w:marLeft w:val="0"/>
      <w:marRight w:val="0"/>
      <w:marTop w:val="0"/>
      <w:marBottom w:val="0"/>
      <w:divBdr>
        <w:top w:val="none" w:sz="0" w:space="0" w:color="auto"/>
        <w:left w:val="none" w:sz="0" w:space="0" w:color="auto"/>
        <w:bottom w:val="none" w:sz="0" w:space="0" w:color="auto"/>
        <w:right w:val="none" w:sz="0" w:space="0" w:color="auto"/>
      </w:divBdr>
    </w:div>
    <w:div w:id="1035696342">
      <w:bodyDiv w:val="1"/>
      <w:marLeft w:val="0"/>
      <w:marRight w:val="0"/>
      <w:marTop w:val="0"/>
      <w:marBottom w:val="0"/>
      <w:divBdr>
        <w:top w:val="none" w:sz="0" w:space="0" w:color="auto"/>
        <w:left w:val="none" w:sz="0" w:space="0" w:color="auto"/>
        <w:bottom w:val="none" w:sz="0" w:space="0" w:color="auto"/>
        <w:right w:val="none" w:sz="0" w:space="0" w:color="auto"/>
      </w:divBdr>
    </w:div>
    <w:div w:id="1042707960">
      <w:bodyDiv w:val="1"/>
      <w:marLeft w:val="0"/>
      <w:marRight w:val="0"/>
      <w:marTop w:val="0"/>
      <w:marBottom w:val="0"/>
      <w:divBdr>
        <w:top w:val="none" w:sz="0" w:space="0" w:color="auto"/>
        <w:left w:val="none" w:sz="0" w:space="0" w:color="auto"/>
        <w:bottom w:val="none" w:sz="0" w:space="0" w:color="auto"/>
        <w:right w:val="none" w:sz="0" w:space="0" w:color="auto"/>
      </w:divBdr>
    </w:div>
    <w:div w:id="1075779896">
      <w:bodyDiv w:val="1"/>
      <w:marLeft w:val="0"/>
      <w:marRight w:val="0"/>
      <w:marTop w:val="0"/>
      <w:marBottom w:val="0"/>
      <w:divBdr>
        <w:top w:val="none" w:sz="0" w:space="0" w:color="auto"/>
        <w:left w:val="none" w:sz="0" w:space="0" w:color="auto"/>
        <w:bottom w:val="none" w:sz="0" w:space="0" w:color="auto"/>
        <w:right w:val="none" w:sz="0" w:space="0" w:color="auto"/>
      </w:divBdr>
    </w:div>
    <w:div w:id="1094977782">
      <w:bodyDiv w:val="1"/>
      <w:marLeft w:val="0"/>
      <w:marRight w:val="0"/>
      <w:marTop w:val="0"/>
      <w:marBottom w:val="0"/>
      <w:divBdr>
        <w:top w:val="none" w:sz="0" w:space="0" w:color="auto"/>
        <w:left w:val="none" w:sz="0" w:space="0" w:color="auto"/>
        <w:bottom w:val="none" w:sz="0" w:space="0" w:color="auto"/>
        <w:right w:val="none" w:sz="0" w:space="0" w:color="auto"/>
      </w:divBdr>
    </w:div>
    <w:div w:id="1095593926">
      <w:bodyDiv w:val="1"/>
      <w:marLeft w:val="0"/>
      <w:marRight w:val="0"/>
      <w:marTop w:val="0"/>
      <w:marBottom w:val="0"/>
      <w:divBdr>
        <w:top w:val="none" w:sz="0" w:space="0" w:color="auto"/>
        <w:left w:val="none" w:sz="0" w:space="0" w:color="auto"/>
        <w:bottom w:val="none" w:sz="0" w:space="0" w:color="auto"/>
        <w:right w:val="none" w:sz="0" w:space="0" w:color="auto"/>
      </w:divBdr>
    </w:div>
    <w:div w:id="1110079391">
      <w:bodyDiv w:val="1"/>
      <w:marLeft w:val="0"/>
      <w:marRight w:val="0"/>
      <w:marTop w:val="0"/>
      <w:marBottom w:val="0"/>
      <w:divBdr>
        <w:top w:val="none" w:sz="0" w:space="0" w:color="auto"/>
        <w:left w:val="none" w:sz="0" w:space="0" w:color="auto"/>
        <w:bottom w:val="none" w:sz="0" w:space="0" w:color="auto"/>
        <w:right w:val="none" w:sz="0" w:space="0" w:color="auto"/>
      </w:divBdr>
    </w:div>
    <w:div w:id="1116216645">
      <w:bodyDiv w:val="1"/>
      <w:marLeft w:val="0"/>
      <w:marRight w:val="0"/>
      <w:marTop w:val="0"/>
      <w:marBottom w:val="0"/>
      <w:divBdr>
        <w:top w:val="none" w:sz="0" w:space="0" w:color="auto"/>
        <w:left w:val="none" w:sz="0" w:space="0" w:color="auto"/>
        <w:bottom w:val="none" w:sz="0" w:space="0" w:color="auto"/>
        <w:right w:val="none" w:sz="0" w:space="0" w:color="auto"/>
      </w:divBdr>
    </w:div>
    <w:div w:id="1117334642">
      <w:bodyDiv w:val="1"/>
      <w:marLeft w:val="0"/>
      <w:marRight w:val="0"/>
      <w:marTop w:val="0"/>
      <w:marBottom w:val="0"/>
      <w:divBdr>
        <w:top w:val="none" w:sz="0" w:space="0" w:color="auto"/>
        <w:left w:val="none" w:sz="0" w:space="0" w:color="auto"/>
        <w:bottom w:val="none" w:sz="0" w:space="0" w:color="auto"/>
        <w:right w:val="none" w:sz="0" w:space="0" w:color="auto"/>
      </w:divBdr>
    </w:div>
    <w:div w:id="1130830019">
      <w:bodyDiv w:val="1"/>
      <w:marLeft w:val="0"/>
      <w:marRight w:val="0"/>
      <w:marTop w:val="0"/>
      <w:marBottom w:val="0"/>
      <w:divBdr>
        <w:top w:val="none" w:sz="0" w:space="0" w:color="auto"/>
        <w:left w:val="none" w:sz="0" w:space="0" w:color="auto"/>
        <w:bottom w:val="none" w:sz="0" w:space="0" w:color="auto"/>
        <w:right w:val="none" w:sz="0" w:space="0" w:color="auto"/>
      </w:divBdr>
    </w:div>
    <w:div w:id="1141926297">
      <w:bodyDiv w:val="1"/>
      <w:marLeft w:val="0"/>
      <w:marRight w:val="0"/>
      <w:marTop w:val="0"/>
      <w:marBottom w:val="0"/>
      <w:divBdr>
        <w:top w:val="none" w:sz="0" w:space="0" w:color="auto"/>
        <w:left w:val="none" w:sz="0" w:space="0" w:color="auto"/>
        <w:bottom w:val="none" w:sz="0" w:space="0" w:color="auto"/>
        <w:right w:val="none" w:sz="0" w:space="0" w:color="auto"/>
      </w:divBdr>
    </w:div>
    <w:div w:id="1184977490">
      <w:bodyDiv w:val="1"/>
      <w:marLeft w:val="0"/>
      <w:marRight w:val="0"/>
      <w:marTop w:val="0"/>
      <w:marBottom w:val="0"/>
      <w:divBdr>
        <w:top w:val="none" w:sz="0" w:space="0" w:color="auto"/>
        <w:left w:val="none" w:sz="0" w:space="0" w:color="auto"/>
        <w:bottom w:val="none" w:sz="0" w:space="0" w:color="auto"/>
        <w:right w:val="none" w:sz="0" w:space="0" w:color="auto"/>
      </w:divBdr>
    </w:div>
    <w:div w:id="1235778327">
      <w:bodyDiv w:val="1"/>
      <w:marLeft w:val="0"/>
      <w:marRight w:val="0"/>
      <w:marTop w:val="0"/>
      <w:marBottom w:val="0"/>
      <w:divBdr>
        <w:top w:val="none" w:sz="0" w:space="0" w:color="auto"/>
        <w:left w:val="none" w:sz="0" w:space="0" w:color="auto"/>
        <w:bottom w:val="none" w:sz="0" w:space="0" w:color="auto"/>
        <w:right w:val="none" w:sz="0" w:space="0" w:color="auto"/>
      </w:divBdr>
    </w:div>
    <w:div w:id="1244149200">
      <w:bodyDiv w:val="1"/>
      <w:marLeft w:val="0"/>
      <w:marRight w:val="0"/>
      <w:marTop w:val="0"/>
      <w:marBottom w:val="0"/>
      <w:divBdr>
        <w:top w:val="none" w:sz="0" w:space="0" w:color="auto"/>
        <w:left w:val="none" w:sz="0" w:space="0" w:color="auto"/>
        <w:bottom w:val="none" w:sz="0" w:space="0" w:color="auto"/>
        <w:right w:val="none" w:sz="0" w:space="0" w:color="auto"/>
      </w:divBdr>
    </w:div>
    <w:div w:id="1279872813">
      <w:bodyDiv w:val="1"/>
      <w:marLeft w:val="0"/>
      <w:marRight w:val="0"/>
      <w:marTop w:val="0"/>
      <w:marBottom w:val="0"/>
      <w:divBdr>
        <w:top w:val="none" w:sz="0" w:space="0" w:color="auto"/>
        <w:left w:val="none" w:sz="0" w:space="0" w:color="auto"/>
        <w:bottom w:val="none" w:sz="0" w:space="0" w:color="auto"/>
        <w:right w:val="none" w:sz="0" w:space="0" w:color="auto"/>
      </w:divBdr>
    </w:div>
    <w:div w:id="1410541207">
      <w:bodyDiv w:val="1"/>
      <w:marLeft w:val="0"/>
      <w:marRight w:val="0"/>
      <w:marTop w:val="0"/>
      <w:marBottom w:val="0"/>
      <w:divBdr>
        <w:top w:val="none" w:sz="0" w:space="0" w:color="auto"/>
        <w:left w:val="none" w:sz="0" w:space="0" w:color="auto"/>
        <w:bottom w:val="none" w:sz="0" w:space="0" w:color="auto"/>
        <w:right w:val="none" w:sz="0" w:space="0" w:color="auto"/>
      </w:divBdr>
    </w:div>
    <w:div w:id="1414275925">
      <w:bodyDiv w:val="1"/>
      <w:marLeft w:val="0"/>
      <w:marRight w:val="0"/>
      <w:marTop w:val="0"/>
      <w:marBottom w:val="0"/>
      <w:divBdr>
        <w:top w:val="none" w:sz="0" w:space="0" w:color="auto"/>
        <w:left w:val="none" w:sz="0" w:space="0" w:color="auto"/>
        <w:bottom w:val="none" w:sz="0" w:space="0" w:color="auto"/>
        <w:right w:val="none" w:sz="0" w:space="0" w:color="auto"/>
      </w:divBdr>
    </w:div>
    <w:div w:id="1417290229">
      <w:bodyDiv w:val="1"/>
      <w:marLeft w:val="0"/>
      <w:marRight w:val="0"/>
      <w:marTop w:val="0"/>
      <w:marBottom w:val="0"/>
      <w:divBdr>
        <w:top w:val="none" w:sz="0" w:space="0" w:color="auto"/>
        <w:left w:val="none" w:sz="0" w:space="0" w:color="auto"/>
        <w:bottom w:val="none" w:sz="0" w:space="0" w:color="auto"/>
        <w:right w:val="none" w:sz="0" w:space="0" w:color="auto"/>
      </w:divBdr>
    </w:div>
    <w:div w:id="1449591970">
      <w:bodyDiv w:val="1"/>
      <w:marLeft w:val="0"/>
      <w:marRight w:val="0"/>
      <w:marTop w:val="0"/>
      <w:marBottom w:val="0"/>
      <w:divBdr>
        <w:top w:val="none" w:sz="0" w:space="0" w:color="auto"/>
        <w:left w:val="none" w:sz="0" w:space="0" w:color="auto"/>
        <w:bottom w:val="none" w:sz="0" w:space="0" w:color="auto"/>
        <w:right w:val="none" w:sz="0" w:space="0" w:color="auto"/>
      </w:divBdr>
    </w:div>
    <w:div w:id="1450011736">
      <w:bodyDiv w:val="1"/>
      <w:marLeft w:val="0"/>
      <w:marRight w:val="0"/>
      <w:marTop w:val="0"/>
      <w:marBottom w:val="0"/>
      <w:divBdr>
        <w:top w:val="none" w:sz="0" w:space="0" w:color="auto"/>
        <w:left w:val="none" w:sz="0" w:space="0" w:color="auto"/>
        <w:bottom w:val="none" w:sz="0" w:space="0" w:color="auto"/>
        <w:right w:val="none" w:sz="0" w:space="0" w:color="auto"/>
      </w:divBdr>
    </w:div>
    <w:div w:id="1501651929">
      <w:bodyDiv w:val="1"/>
      <w:marLeft w:val="0"/>
      <w:marRight w:val="0"/>
      <w:marTop w:val="0"/>
      <w:marBottom w:val="0"/>
      <w:divBdr>
        <w:top w:val="none" w:sz="0" w:space="0" w:color="auto"/>
        <w:left w:val="none" w:sz="0" w:space="0" w:color="auto"/>
        <w:bottom w:val="none" w:sz="0" w:space="0" w:color="auto"/>
        <w:right w:val="none" w:sz="0" w:space="0" w:color="auto"/>
      </w:divBdr>
    </w:div>
    <w:div w:id="1512336619">
      <w:bodyDiv w:val="1"/>
      <w:marLeft w:val="0"/>
      <w:marRight w:val="0"/>
      <w:marTop w:val="0"/>
      <w:marBottom w:val="0"/>
      <w:divBdr>
        <w:top w:val="none" w:sz="0" w:space="0" w:color="auto"/>
        <w:left w:val="none" w:sz="0" w:space="0" w:color="auto"/>
        <w:bottom w:val="none" w:sz="0" w:space="0" w:color="auto"/>
        <w:right w:val="none" w:sz="0" w:space="0" w:color="auto"/>
      </w:divBdr>
    </w:div>
    <w:div w:id="1521698793">
      <w:bodyDiv w:val="1"/>
      <w:marLeft w:val="0"/>
      <w:marRight w:val="0"/>
      <w:marTop w:val="0"/>
      <w:marBottom w:val="0"/>
      <w:divBdr>
        <w:top w:val="none" w:sz="0" w:space="0" w:color="auto"/>
        <w:left w:val="none" w:sz="0" w:space="0" w:color="auto"/>
        <w:bottom w:val="none" w:sz="0" w:space="0" w:color="auto"/>
        <w:right w:val="none" w:sz="0" w:space="0" w:color="auto"/>
      </w:divBdr>
    </w:div>
    <w:div w:id="1544564242">
      <w:bodyDiv w:val="1"/>
      <w:marLeft w:val="0"/>
      <w:marRight w:val="0"/>
      <w:marTop w:val="0"/>
      <w:marBottom w:val="0"/>
      <w:divBdr>
        <w:top w:val="none" w:sz="0" w:space="0" w:color="auto"/>
        <w:left w:val="none" w:sz="0" w:space="0" w:color="auto"/>
        <w:bottom w:val="none" w:sz="0" w:space="0" w:color="auto"/>
        <w:right w:val="none" w:sz="0" w:space="0" w:color="auto"/>
      </w:divBdr>
    </w:div>
    <w:div w:id="1548447328">
      <w:bodyDiv w:val="1"/>
      <w:marLeft w:val="0"/>
      <w:marRight w:val="0"/>
      <w:marTop w:val="0"/>
      <w:marBottom w:val="0"/>
      <w:divBdr>
        <w:top w:val="none" w:sz="0" w:space="0" w:color="auto"/>
        <w:left w:val="none" w:sz="0" w:space="0" w:color="auto"/>
        <w:bottom w:val="none" w:sz="0" w:space="0" w:color="auto"/>
        <w:right w:val="none" w:sz="0" w:space="0" w:color="auto"/>
      </w:divBdr>
    </w:div>
    <w:div w:id="1556771640">
      <w:bodyDiv w:val="1"/>
      <w:marLeft w:val="0"/>
      <w:marRight w:val="0"/>
      <w:marTop w:val="0"/>
      <w:marBottom w:val="0"/>
      <w:divBdr>
        <w:top w:val="none" w:sz="0" w:space="0" w:color="auto"/>
        <w:left w:val="none" w:sz="0" w:space="0" w:color="auto"/>
        <w:bottom w:val="none" w:sz="0" w:space="0" w:color="auto"/>
        <w:right w:val="none" w:sz="0" w:space="0" w:color="auto"/>
      </w:divBdr>
    </w:div>
    <w:div w:id="1568614254">
      <w:bodyDiv w:val="1"/>
      <w:marLeft w:val="0"/>
      <w:marRight w:val="0"/>
      <w:marTop w:val="0"/>
      <w:marBottom w:val="0"/>
      <w:divBdr>
        <w:top w:val="none" w:sz="0" w:space="0" w:color="auto"/>
        <w:left w:val="none" w:sz="0" w:space="0" w:color="auto"/>
        <w:bottom w:val="none" w:sz="0" w:space="0" w:color="auto"/>
        <w:right w:val="none" w:sz="0" w:space="0" w:color="auto"/>
      </w:divBdr>
    </w:div>
    <w:div w:id="1588924229">
      <w:bodyDiv w:val="1"/>
      <w:marLeft w:val="0"/>
      <w:marRight w:val="0"/>
      <w:marTop w:val="0"/>
      <w:marBottom w:val="0"/>
      <w:divBdr>
        <w:top w:val="none" w:sz="0" w:space="0" w:color="auto"/>
        <w:left w:val="none" w:sz="0" w:space="0" w:color="auto"/>
        <w:bottom w:val="none" w:sz="0" w:space="0" w:color="auto"/>
        <w:right w:val="none" w:sz="0" w:space="0" w:color="auto"/>
      </w:divBdr>
    </w:div>
    <w:div w:id="1603536015">
      <w:bodyDiv w:val="1"/>
      <w:marLeft w:val="0"/>
      <w:marRight w:val="0"/>
      <w:marTop w:val="0"/>
      <w:marBottom w:val="0"/>
      <w:divBdr>
        <w:top w:val="none" w:sz="0" w:space="0" w:color="auto"/>
        <w:left w:val="none" w:sz="0" w:space="0" w:color="auto"/>
        <w:bottom w:val="none" w:sz="0" w:space="0" w:color="auto"/>
        <w:right w:val="none" w:sz="0" w:space="0" w:color="auto"/>
      </w:divBdr>
    </w:div>
    <w:div w:id="1608154716">
      <w:bodyDiv w:val="1"/>
      <w:marLeft w:val="0"/>
      <w:marRight w:val="0"/>
      <w:marTop w:val="0"/>
      <w:marBottom w:val="0"/>
      <w:divBdr>
        <w:top w:val="none" w:sz="0" w:space="0" w:color="auto"/>
        <w:left w:val="none" w:sz="0" w:space="0" w:color="auto"/>
        <w:bottom w:val="none" w:sz="0" w:space="0" w:color="auto"/>
        <w:right w:val="none" w:sz="0" w:space="0" w:color="auto"/>
      </w:divBdr>
    </w:div>
    <w:div w:id="1619944743">
      <w:bodyDiv w:val="1"/>
      <w:marLeft w:val="0"/>
      <w:marRight w:val="0"/>
      <w:marTop w:val="0"/>
      <w:marBottom w:val="0"/>
      <w:divBdr>
        <w:top w:val="none" w:sz="0" w:space="0" w:color="auto"/>
        <w:left w:val="none" w:sz="0" w:space="0" w:color="auto"/>
        <w:bottom w:val="none" w:sz="0" w:space="0" w:color="auto"/>
        <w:right w:val="none" w:sz="0" w:space="0" w:color="auto"/>
      </w:divBdr>
    </w:div>
    <w:div w:id="1649284312">
      <w:bodyDiv w:val="1"/>
      <w:marLeft w:val="0"/>
      <w:marRight w:val="0"/>
      <w:marTop w:val="0"/>
      <w:marBottom w:val="0"/>
      <w:divBdr>
        <w:top w:val="none" w:sz="0" w:space="0" w:color="auto"/>
        <w:left w:val="none" w:sz="0" w:space="0" w:color="auto"/>
        <w:bottom w:val="none" w:sz="0" w:space="0" w:color="auto"/>
        <w:right w:val="none" w:sz="0" w:space="0" w:color="auto"/>
      </w:divBdr>
    </w:div>
    <w:div w:id="1654678072">
      <w:bodyDiv w:val="1"/>
      <w:marLeft w:val="0"/>
      <w:marRight w:val="0"/>
      <w:marTop w:val="0"/>
      <w:marBottom w:val="0"/>
      <w:divBdr>
        <w:top w:val="none" w:sz="0" w:space="0" w:color="auto"/>
        <w:left w:val="none" w:sz="0" w:space="0" w:color="auto"/>
        <w:bottom w:val="none" w:sz="0" w:space="0" w:color="auto"/>
        <w:right w:val="none" w:sz="0" w:space="0" w:color="auto"/>
      </w:divBdr>
    </w:div>
    <w:div w:id="1679887590">
      <w:bodyDiv w:val="1"/>
      <w:marLeft w:val="0"/>
      <w:marRight w:val="0"/>
      <w:marTop w:val="0"/>
      <w:marBottom w:val="0"/>
      <w:divBdr>
        <w:top w:val="none" w:sz="0" w:space="0" w:color="auto"/>
        <w:left w:val="none" w:sz="0" w:space="0" w:color="auto"/>
        <w:bottom w:val="none" w:sz="0" w:space="0" w:color="auto"/>
        <w:right w:val="none" w:sz="0" w:space="0" w:color="auto"/>
      </w:divBdr>
    </w:div>
    <w:div w:id="1683508433">
      <w:bodyDiv w:val="1"/>
      <w:marLeft w:val="0"/>
      <w:marRight w:val="0"/>
      <w:marTop w:val="0"/>
      <w:marBottom w:val="0"/>
      <w:divBdr>
        <w:top w:val="none" w:sz="0" w:space="0" w:color="auto"/>
        <w:left w:val="none" w:sz="0" w:space="0" w:color="auto"/>
        <w:bottom w:val="none" w:sz="0" w:space="0" w:color="auto"/>
        <w:right w:val="none" w:sz="0" w:space="0" w:color="auto"/>
      </w:divBdr>
    </w:div>
    <w:div w:id="1685277349">
      <w:bodyDiv w:val="1"/>
      <w:marLeft w:val="0"/>
      <w:marRight w:val="0"/>
      <w:marTop w:val="0"/>
      <w:marBottom w:val="0"/>
      <w:divBdr>
        <w:top w:val="none" w:sz="0" w:space="0" w:color="auto"/>
        <w:left w:val="none" w:sz="0" w:space="0" w:color="auto"/>
        <w:bottom w:val="none" w:sz="0" w:space="0" w:color="auto"/>
        <w:right w:val="none" w:sz="0" w:space="0" w:color="auto"/>
      </w:divBdr>
    </w:div>
    <w:div w:id="1706951021">
      <w:bodyDiv w:val="1"/>
      <w:marLeft w:val="0"/>
      <w:marRight w:val="0"/>
      <w:marTop w:val="0"/>
      <w:marBottom w:val="0"/>
      <w:divBdr>
        <w:top w:val="none" w:sz="0" w:space="0" w:color="auto"/>
        <w:left w:val="none" w:sz="0" w:space="0" w:color="auto"/>
        <w:bottom w:val="none" w:sz="0" w:space="0" w:color="auto"/>
        <w:right w:val="none" w:sz="0" w:space="0" w:color="auto"/>
      </w:divBdr>
    </w:div>
    <w:div w:id="1731072785">
      <w:bodyDiv w:val="1"/>
      <w:marLeft w:val="0"/>
      <w:marRight w:val="0"/>
      <w:marTop w:val="0"/>
      <w:marBottom w:val="0"/>
      <w:divBdr>
        <w:top w:val="none" w:sz="0" w:space="0" w:color="auto"/>
        <w:left w:val="none" w:sz="0" w:space="0" w:color="auto"/>
        <w:bottom w:val="none" w:sz="0" w:space="0" w:color="auto"/>
        <w:right w:val="none" w:sz="0" w:space="0" w:color="auto"/>
      </w:divBdr>
    </w:div>
    <w:div w:id="1795128859">
      <w:bodyDiv w:val="1"/>
      <w:marLeft w:val="0"/>
      <w:marRight w:val="0"/>
      <w:marTop w:val="0"/>
      <w:marBottom w:val="0"/>
      <w:divBdr>
        <w:top w:val="none" w:sz="0" w:space="0" w:color="auto"/>
        <w:left w:val="none" w:sz="0" w:space="0" w:color="auto"/>
        <w:bottom w:val="none" w:sz="0" w:space="0" w:color="auto"/>
        <w:right w:val="none" w:sz="0" w:space="0" w:color="auto"/>
      </w:divBdr>
    </w:div>
    <w:div w:id="1836796754">
      <w:bodyDiv w:val="1"/>
      <w:marLeft w:val="0"/>
      <w:marRight w:val="0"/>
      <w:marTop w:val="0"/>
      <w:marBottom w:val="0"/>
      <w:divBdr>
        <w:top w:val="none" w:sz="0" w:space="0" w:color="auto"/>
        <w:left w:val="none" w:sz="0" w:space="0" w:color="auto"/>
        <w:bottom w:val="none" w:sz="0" w:space="0" w:color="auto"/>
        <w:right w:val="none" w:sz="0" w:space="0" w:color="auto"/>
      </w:divBdr>
    </w:div>
    <w:div w:id="1869563459">
      <w:bodyDiv w:val="1"/>
      <w:marLeft w:val="0"/>
      <w:marRight w:val="0"/>
      <w:marTop w:val="0"/>
      <w:marBottom w:val="0"/>
      <w:divBdr>
        <w:top w:val="none" w:sz="0" w:space="0" w:color="auto"/>
        <w:left w:val="none" w:sz="0" w:space="0" w:color="auto"/>
        <w:bottom w:val="none" w:sz="0" w:space="0" w:color="auto"/>
        <w:right w:val="none" w:sz="0" w:space="0" w:color="auto"/>
      </w:divBdr>
    </w:div>
    <w:div w:id="1875002790">
      <w:bodyDiv w:val="1"/>
      <w:marLeft w:val="0"/>
      <w:marRight w:val="0"/>
      <w:marTop w:val="0"/>
      <w:marBottom w:val="0"/>
      <w:divBdr>
        <w:top w:val="none" w:sz="0" w:space="0" w:color="auto"/>
        <w:left w:val="none" w:sz="0" w:space="0" w:color="auto"/>
        <w:bottom w:val="none" w:sz="0" w:space="0" w:color="auto"/>
        <w:right w:val="none" w:sz="0" w:space="0" w:color="auto"/>
      </w:divBdr>
    </w:div>
    <w:div w:id="1984308404">
      <w:bodyDiv w:val="1"/>
      <w:marLeft w:val="0"/>
      <w:marRight w:val="0"/>
      <w:marTop w:val="0"/>
      <w:marBottom w:val="0"/>
      <w:divBdr>
        <w:top w:val="none" w:sz="0" w:space="0" w:color="auto"/>
        <w:left w:val="none" w:sz="0" w:space="0" w:color="auto"/>
        <w:bottom w:val="none" w:sz="0" w:space="0" w:color="auto"/>
        <w:right w:val="none" w:sz="0" w:space="0" w:color="auto"/>
      </w:divBdr>
    </w:div>
    <w:div w:id="1995643911">
      <w:bodyDiv w:val="1"/>
      <w:marLeft w:val="0"/>
      <w:marRight w:val="0"/>
      <w:marTop w:val="0"/>
      <w:marBottom w:val="0"/>
      <w:divBdr>
        <w:top w:val="none" w:sz="0" w:space="0" w:color="auto"/>
        <w:left w:val="none" w:sz="0" w:space="0" w:color="auto"/>
        <w:bottom w:val="none" w:sz="0" w:space="0" w:color="auto"/>
        <w:right w:val="none" w:sz="0" w:space="0" w:color="auto"/>
      </w:divBdr>
    </w:div>
    <w:div w:id="2011786107">
      <w:bodyDiv w:val="1"/>
      <w:marLeft w:val="0"/>
      <w:marRight w:val="0"/>
      <w:marTop w:val="0"/>
      <w:marBottom w:val="0"/>
      <w:divBdr>
        <w:top w:val="none" w:sz="0" w:space="0" w:color="auto"/>
        <w:left w:val="none" w:sz="0" w:space="0" w:color="auto"/>
        <w:bottom w:val="none" w:sz="0" w:space="0" w:color="auto"/>
        <w:right w:val="none" w:sz="0" w:space="0" w:color="auto"/>
      </w:divBdr>
    </w:div>
    <w:div w:id="2025596125">
      <w:bodyDiv w:val="1"/>
      <w:marLeft w:val="0"/>
      <w:marRight w:val="0"/>
      <w:marTop w:val="0"/>
      <w:marBottom w:val="0"/>
      <w:divBdr>
        <w:top w:val="none" w:sz="0" w:space="0" w:color="auto"/>
        <w:left w:val="none" w:sz="0" w:space="0" w:color="auto"/>
        <w:bottom w:val="none" w:sz="0" w:space="0" w:color="auto"/>
        <w:right w:val="none" w:sz="0" w:space="0" w:color="auto"/>
      </w:divBdr>
    </w:div>
    <w:div w:id="2028093651">
      <w:bodyDiv w:val="1"/>
      <w:marLeft w:val="0"/>
      <w:marRight w:val="0"/>
      <w:marTop w:val="0"/>
      <w:marBottom w:val="0"/>
      <w:divBdr>
        <w:top w:val="none" w:sz="0" w:space="0" w:color="auto"/>
        <w:left w:val="none" w:sz="0" w:space="0" w:color="auto"/>
        <w:bottom w:val="none" w:sz="0" w:space="0" w:color="auto"/>
        <w:right w:val="none" w:sz="0" w:space="0" w:color="auto"/>
      </w:divBdr>
    </w:div>
    <w:div w:id="2074616768">
      <w:bodyDiv w:val="1"/>
      <w:marLeft w:val="0"/>
      <w:marRight w:val="0"/>
      <w:marTop w:val="0"/>
      <w:marBottom w:val="0"/>
      <w:divBdr>
        <w:top w:val="none" w:sz="0" w:space="0" w:color="auto"/>
        <w:left w:val="none" w:sz="0" w:space="0" w:color="auto"/>
        <w:bottom w:val="none" w:sz="0" w:space="0" w:color="auto"/>
        <w:right w:val="none" w:sz="0" w:space="0" w:color="auto"/>
      </w:divBdr>
    </w:div>
    <w:div w:id="2083672188">
      <w:bodyDiv w:val="1"/>
      <w:marLeft w:val="0"/>
      <w:marRight w:val="0"/>
      <w:marTop w:val="0"/>
      <w:marBottom w:val="0"/>
      <w:divBdr>
        <w:top w:val="none" w:sz="0" w:space="0" w:color="auto"/>
        <w:left w:val="none" w:sz="0" w:space="0" w:color="auto"/>
        <w:bottom w:val="none" w:sz="0" w:space="0" w:color="auto"/>
        <w:right w:val="none" w:sz="0" w:space="0" w:color="auto"/>
      </w:divBdr>
    </w:div>
    <w:div w:id="2091536333">
      <w:bodyDiv w:val="1"/>
      <w:marLeft w:val="0"/>
      <w:marRight w:val="0"/>
      <w:marTop w:val="0"/>
      <w:marBottom w:val="0"/>
      <w:divBdr>
        <w:top w:val="none" w:sz="0" w:space="0" w:color="auto"/>
        <w:left w:val="none" w:sz="0" w:space="0" w:color="auto"/>
        <w:bottom w:val="none" w:sz="0" w:space="0" w:color="auto"/>
        <w:right w:val="none" w:sz="0" w:space="0" w:color="auto"/>
      </w:divBdr>
    </w:div>
    <w:div w:id="2097824690">
      <w:bodyDiv w:val="1"/>
      <w:marLeft w:val="0"/>
      <w:marRight w:val="0"/>
      <w:marTop w:val="0"/>
      <w:marBottom w:val="0"/>
      <w:divBdr>
        <w:top w:val="none" w:sz="0" w:space="0" w:color="auto"/>
        <w:left w:val="none" w:sz="0" w:space="0" w:color="auto"/>
        <w:bottom w:val="none" w:sz="0" w:space="0" w:color="auto"/>
        <w:right w:val="none" w:sz="0" w:space="0" w:color="auto"/>
      </w:divBdr>
    </w:div>
    <w:div w:id="2101872105">
      <w:bodyDiv w:val="1"/>
      <w:marLeft w:val="0"/>
      <w:marRight w:val="0"/>
      <w:marTop w:val="0"/>
      <w:marBottom w:val="0"/>
      <w:divBdr>
        <w:top w:val="none" w:sz="0" w:space="0" w:color="auto"/>
        <w:left w:val="none" w:sz="0" w:space="0" w:color="auto"/>
        <w:bottom w:val="none" w:sz="0" w:space="0" w:color="auto"/>
        <w:right w:val="none" w:sz="0" w:space="0" w:color="auto"/>
      </w:divBdr>
    </w:div>
    <w:div w:id="2118980032">
      <w:bodyDiv w:val="1"/>
      <w:marLeft w:val="0"/>
      <w:marRight w:val="0"/>
      <w:marTop w:val="0"/>
      <w:marBottom w:val="0"/>
      <w:divBdr>
        <w:top w:val="none" w:sz="0" w:space="0" w:color="auto"/>
        <w:left w:val="none" w:sz="0" w:space="0" w:color="auto"/>
        <w:bottom w:val="none" w:sz="0" w:space="0" w:color="auto"/>
        <w:right w:val="none" w:sz="0" w:space="0" w:color="auto"/>
      </w:divBdr>
    </w:div>
    <w:div w:id="2141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nipeg.ca/waterandwaste/sewage/WPCClicenseMonitor.s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2.gov.mb.ca/laws/regs/current/_pdf-regs.php?reg=62/20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2.gov.mb.ca/laws/regs/current/_pdf-regs.php?reg=62/2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nipeg.ca/waterandwaste/sewage/WPCClicenseMonitor.stm" TargetMode="External"/><Relationship Id="rId5" Type="http://schemas.openxmlformats.org/officeDocument/2006/relationships/settings" Target="settings.xml"/><Relationship Id="rId15" Type="http://schemas.openxmlformats.org/officeDocument/2006/relationships/hyperlink" Target="http://winnipeg.ca/waterandwaste/sewage/WPCClicenseMonitor.stm" TargetMode="External"/><Relationship Id="rId10" Type="http://schemas.openxmlformats.org/officeDocument/2006/relationships/hyperlink" Target="http://winnipeg.ca/waterandwaste/sewage/WPCClicenseMonitor.s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innipeg.ca/waterandwaste/sewage/WPCClicenseMonitor.stm" TargetMode="External"/><Relationship Id="rId14" Type="http://schemas.openxmlformats.org/officeDocument/2006/relationships/hyperlink" Target="http://winnipeg.ca/waterandwaste/sewage/WPCClicenseMonitor.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A096-36EA-477A-A9B3-D9D30432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Amanda</dc:creator>
  <cp:lastModifiedBy>Wolfe, Amanda</cp:lastModifiedBy>
  <cp:revision>47</cp:revision>
  <cp:lastPrinted>2015-12-22T20:05:00Z</cp:lastPrinted>
  <dcterms:created xsi:type="dcterms:W3CDTF">2015-12-16T18:30:00Z</dcterms:created>
  <dcterms:modified xsi:type="dcterms:W3CDTF">2015-12-23T16:31:00Z</dcterms:modified>
</cp:coreProperties>
</file>